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635" w:type="dxa"/>
        <w:tblInd w:w="-284" w:type="dxa"/>
        <w:tblLook w:val="04A0" w:firstRow="1" w:lastRow="0" w:firstColumn="1" w:lastColumn="0" w:noHBand="0" w:noVBand="1"/>
      </w:tblPr>
      <w:tblGrid>
        <w:gridCol w:w="1697"/>
        <w:gridCol w:w="7938"/>
      </w:tblGrid>
      <w:tr w:rsidR="00703CF8" w:rsidRPr="0078670A" w14:paraId="7C52AA96" w14:textId="77777777" w:rsidTr="00446F84">
        <w:tc>
          <w:tcPr>
            <w:tcW w:w="9635" w:type="dxa"/>
            <w:gridSpan w:val="2"/>
            <w:shd w:val="clear" w:color="auto" w:fill="auto"/>
            <w:vAlign w:val="center"/>
          </w:tcPr>
          <w:p w14:paraId="5AA80EF5" w14:textId="77777777" w:rsidR="00703CF8" w:rsidRPr="0078670A" w:rsidRDefault="00F54B92" w:rsidP="00232F83">
            <w:pPr>
              <w:tabs>
                <w:tab w:val="left" w:pos="0"/>
                <w:tab w:val="left" w:pos="210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8670A">
              <w:rPr>
                <w:b/>
                <w:sz w:val="22"/>
                <w:szCs w:val="22"/>
              </w:rPr>
              <w:t>KYS</w:t>
            </w:r>
            <w:r w:rsidR="00703CF8" w:rsidRPr="0078670A">
              <w:rPr>
                <w:b/>
                <w:sz w:val="22"/>
                <w:szCs w:val="22"/>
              </w:rPr>
              <w:t xml:space="preserve"> KAPSAMININ BELİRLENMESİ FORMU</w:t>
            </w:r>
          </w:p>
        </w:tc>
      </w:tr>
      <w:tr w:rsidR="00703CF8" w:rsidRPr="0078670A" w14:paraId="4FBA5B10" w14:textId="77777777" w:rsidTr="00446F84">
        <w:tc>
          <w:tcPr>
            <w:tcW w:w="1697" w:type="dxa"/>
            <w:shd w:val="clear" w:color="auto" w:fill="auto"/>
            <w:vAlign w:val="center"/>
          </w:tcPr>
          <w:p w14:paraId="0A6737AE" w14:textId="77777777" w:rsidR="00703CF8" w:rsidRPr="0078670A" w:rsidRDefault="00F54B92" w:rsidP="00232F83">
            <w:pPr>
              <w:tabs>
                <w:tab w:val="left" w:pos="0"/>
                <w:tab w:val="left" w:pos="210"/>
              </w:tabs>
              <w:spacing w:line="360" w:lineRule="auto"/>
              <w:rPr>
                <w:b/>
                <w:sz w:val="22"/>
                <w:szCs w:val="22"/>
              </w:rPr>
            </w:pPr>
            <w:r w:rsidRPr="0078670A">
              <w:rPr>
                <w:b/>
                <w:sz w:val="22"/>
                <w:szCs w:val="22"/>
              </w:rPr>
              <w:t>K</w:t>
            </w:r>
            <w:r w:rsidR="00703CF8" w:rsidRPr="0078670A">
              <w:rPr>
                <w:b/>
                <w:sz w:val="22"/>
                <w:szCs w:val="22"/>
              </w:rPr>
              <w:t>YS KAPSAMI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4CFB300" w14:textId="3E5E8B0F" w:rsidR="009614CD" w:rsidRPr="0078670A" w:rsidRDefault="009614CD" w:rsidP="009614CD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78670A">
              <w:rPr>
                <w:b/>
                <w:bCs/>
                <w:sz w:val="22"/>
                <w:szCs w:val="22"/>
              </w:rPr>
              <w:t>Caferağa</w:t>
            </w:r>
            <w:proofErr w:type="spellEnd"/>
            <w:r w:rsidR="00D226A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8670A">
              <w:rPr>
                <w:b/>
                <w:bCs/>
                <w:sz w:val="22"/>
                <w:szCs w:val="22"/>
              </w:rPr>
              <w:t>Mah</w:t>
            </w:r>
            <w:proofErr w:type="spellEnd"/>
            <w:r w:rsidRPr="0078670A">
              <w:rPr>
                <w:b/>
                <w:bCs/>
                <w:sz w:val="22"/>
                <w:szCs w:val="22"/>
              </w:rPr>
              <w:t xml:space="preserve">, General Asım Gündüz </w:t>
            </w:r>
            <w:proofErr w:type="spellStart"/>
            <w:r w:rsidRPr="0078670A">
              <w:rPr>
                <w:b/>
                <w:bCs/>
                <w:sz w:val="22"/>
                <w:szCs w:val="22"/>
              </w:rPr>
              <w:t>Cd</w:t>
            </w:r>
            <w:proofErr w:type="spellEnd"/>
            <w:r w:rsidRPr="0078670A">
              <w:rPr>
                <w:b/>
                <w:bCs/>
                <w:sz w:val="22"/>
                <w:szCs w:val="22"/>
              </w:rPr>
              <w:t>., 34720 Kadıköy/İstanbul</w:t>
            </w:r>
            <w:r w:rsidRPr="0078670A">
              <w:rPr>
                <w:sz w:val="22"/>
                <w:szCs w:val="22"/>
              </w:rPr>
              <w:t xml:space="preserve"> adresindeki merkezimiz,</w:t>
            </w:r>
          </w:p>
          <w:p w14:paraId="1F12E7F6" w14:textId="77777777" w:rsidR="00703CF8" w:rsidRPr="0078670A" w:rsidRDefault="009614CD" w:rsidP="001803B1">
            <w:pPr>
              <w:spacing w:line="360" w:lineRule="auto"/>
              <w:rPr>
                <w:sz w:val="22"/>
                <w:szCs w:val="22"/>
              </w:rPr>
            </w:pPr>
            <w:r w:rsidRPr="0078670A">
              <w:rPr>
                <w:sz w:val="22"/>
                <w:szCs w:val="22"/>
              </w:rPr>
              <w:t>-</w:t>
            </w:r>
            <w:r w:rsidR="001803B1" w:rsidRPr="0078670A">
              <w:rPr>
                <w:sz w:val="22"/>
                <w:szCs w:val="22"/>
              </w:rPr>
              <w:t xml:space="preserve">Toplumsal sorumluluklarının bilincinde, akademik çalışmalarında niteliği önemseyen, </w:t>
            </w:r>
            <w:proofErr w:type="spellStart"/>
            <w:r w:rsidR="001803B1" w:rsidRPr="0078670A">
              <w:rPr>
                <w:sz w:val="22"/>
                <w:szCs w:val="22"/>
              </w:rPr>
              <w:t>disiplinlerarası</w:t>
            </w:r>
            <w:proofErr w:type="spellEnd"/>
            <w:r w:rsidR="001803B1" w:rsidRPr="0078670A">
              <w:rPr>
                <w:sz w:val="22"/>
                <w:szCs w:val="22"/>
              </w:rPr>
              <w:t xml:space="preserve"> yaklaşıma açık, bilgiyi paylaşan, değerlendirmelerinde akademik ölçütleri esas alan, üretkenliği ve yaratıcı düşünceyi destekleyen bir ortam oluşturmak ve bunu sürekli kılacak kültürü yerleştirmek,</w:t>
            </w:r>
          </w:p>
          <w:p w14:paraId="33597D7E" w14:textId="77777777" w:rsidR="001803B1" w:rsidRPr="0078670A" w:rsidRDefault="001803B1" w:rsidP="001803B1">
            <w:pPr>
              <w:spacing w:line="360" w:lineRule="auto"/>
              <w:rPr>
                <w:sz w:val="22"/>
                <w:szCs w:val="22"/>
              </w:rPr>
            </w:pPr>
            <w:r w:rsidRPr="0078670A">
              <w:rPr>
                <w:sz w:val="22"/>
                <w:szCs w:val="22"/>
              </w:rPr>
              <w:t>- Öğrencilerin, akademik ve idari personelin bilgiye erişimini, iletişim ve etkileşimi kolaylaştıran fiziksel ve teknolojik ortam oluşturmak,</w:t>
            </w:r>
          </w:p>
          <w:p w14:paraId="0B301C4D" w14:textId="77777777" w:rsidR="00751464" w:rsidRPr="0078670A" w:rsidRDefault="001803B1" w:rsidP="00751464">
            <w:pPr>
              <w:spacing w:line="360" w:lineRule="auto"/>
              <w:rPr>
                <w:sz w:val="22"/>
                <w:szCs w:val="22"/>
              </w:rPr>
            </w:pPr>
            <w:r w:rsidRPr="0078670A">
              <w:rPr>
                <w:sz w:val="22"/>
                <w:szCs w:val="22"/>
              </w:rPr>
              <w:t>- Tüm akademik ve yönetsel etkinliklerin dürüst, açık, demokratik ve katılımcı bir anlayışla yeri</w:t>
            </w:r>
            <w:r w:rsidR="00751464" w:rsidRPr="0078670A">
              <w:rPr>
                <w:sz w:val="22"/>
                <w:szCs w:val="22"/>
              </w:rPr>
              <w:t xml:space="preserve">ne getirilmesini sürekli </w:t>
            </w:r>
            <w:proofErr w:type="gramStart"/>
            <w:r w:rsidR="00751464" w:rsidRPr="0078670A">
              <w:rPr>
                <w:sz w:val="22"/>
                <w:szCs w:val="22"/>
              </w:rPr>
              <w:t>kılmak,ve</w:t>
            </w:r>
            <w:proofErr w:type="gramEnd"/>
            <w:r w:rsidR="00751464" w:rsidRPr="0078670A">
              <w:rPr>
                <w:sz w:val="22"/>
                <w:szCs w:val="22"/>
              </w:rPr>
              <w:t xml:space="preserve"> kendilerini özgürce ifade edebilecekleri öğrenme ortamlarını geliştirmek,</w:t>
            </w:r>
          </w:p>
        </w:tc>
      </w:tr>
      <w:tr w:rsidR="00AB33FC" w:rsidRPr="0078670A" w14:paraId="6F3023BC" w14:textId="77777777" w:rsidTr="00446F84">
        <w:tc>
          <w:tcPr>
            <w:tcW w:w="1697" w:type="dxa"/>
            <w:shd w:val="clear" w:color="auto" w:fill="auto"/>
            <w:vAlign w:val="center"/>
          </w:tcPr>
          <w:p w14:paraId="3B444B48" w14:textId="77777777" w:rsidR="00AB33FC" w:rsidRPr="0078670A" w:rsidRDefault="00F54B92" w:rsidP="00232F83">
            <w:pPr>
              <w:tabs>
                <w:tab w:val="left" w:pos="0"/>
                <w:tab w:val="left" w:pos="210"/>
              </w:tabs>
              <w:spacing w:line="360" w:lineRule="auto"/>
              <w:rPr>
                <w:b/>
                <w:sz w:val="22"/>
                <w:szCs w:val="22"/>
              </w:rPr>
            </w:pPr>
            <w:r w:rsidRPr="0078670A">
              <w:rPr>
                <w:b/>
                <w:sz w:val="22"/>
                <w:szCs w:val="22"/>
              </w:rPr>
              <w:t>KYS</w:t>
            </w:r>
            <w:r w:rsidR="00AB33FC" w:rsidRPr="0078670A">
              <w:rPr>
                <w:b/>
                <w:sz w:val="22"/>
                <w:szCs w:val="22"/>
              </w:rPr>
              <w:t xml:space="preserve"> KAPSAM DIŞI BIRAKILAN MADDE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7F6E9D1" w14:textId="77777777" w:rsidR="00F33D3D" w:rsidRPr="00F33D3D" w:rsidRDefault="00AB33FC" w:rsidP="006F5009">
            <w:pPr>
              <w:pStyle w:val="AralkYok"/>
              <w:rPr>
                <w:b/>
                <w:bCs/>
                <w:sz w:val="22"/>
                <w:szCs w:val="22"/>
              </w:rPr>
            </w:pPr>
            <w:r w:rsidRPr="00F33D3D">
              <w:rPr>
                <w:b/>
                <w:bCs/>
                <w:sz w:val="22"/>
                <w:szCs w:val="22"/>
              </w:rPr>
              <w:t>7.1.5.2 Ölçüm İzlenebilirliği</w:t>
            </w:r>
            <w:r w:rsidR="006F5009" w:rsidRPr="00F33D3D">
              <w:rPr>
                <w:b/>
                <w:bCs/>
                <w:sz w:val="22"/>
                <w:szCs w:val="22"/>
              </w:rPr>
              <w:t>,</w:t>
            </w:r>
          </w:p>
          <w:p w14:paraId="5BBFFBEA" w14:textId="7528594E" w:rsidR="00F33D3D" w:rsidRPr="00F33D3D" w:rsidRDefault="00F33D3D" w:rsidP="006F5009">
            <w:pPr>
              <w:pStyle w:val="AralkYok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78670A">
              <w:rPr>
                <w:sz w:val="22"/>
                <w:szCs w:val="22"/>
              </w:rPr>
              <w:t xml:space="preserve">urumumuzun verdiği hizmetin nitelikleri gereği </w:t>
            </w:r>
            <w:r>
              <w:rPr>
                <w:sz w:val="22"/>
                <w:szCs w:val="22"/>
              </w:rPr>
              <w:t xml:space="preserve">Ölçüm İzlenirliğini </w:t>
            </w:r>
            <w:r>
              <w:rPr>
                <w:sz w:val="22"/>
                <w:szCs w:val="22"/>
              </w:rPr>
              <w:t>(</w:t>
            </w:r>
            <w:r w:rsidRPr="00F33D3D">
              <w:rPr>
                <w:sz w:val="22"/>
                <w:szCs w:val="22"/>
              </w:rPr>
              <w:t>kalibrasyon</w:t>
            </w:r>
            <w:r w:rsidRPr="00F33D3D">
              <w:rPr>
                <w:sz w:val="22"/>
                <w:szCs w:val="22"/>
              </w:rPr>
              <w:t>)</w:t>
            </w:r>
            <w:r w:rsidRPr="00F33D3D">
              <w:rPr>
                <w:sz w:val="22"/>
                <w:szCs w:val="22"/>
              </w:rPr>
              <w:t xml:space="preserve"> gerektirebilecek herhangi bir izleme ve ölçme donanımı/cihazı kullanılmadığından standardın bu maddesi hariç bırakılmıştır</w:t>
            </w:r>
          </w:p>
        </w:tc>
      </w:tr>
      <w:tr w:rsidR="00703CF8" w:rsidRPr="0078670A" w14:paraId="637D8442" w14:textId="77777777" w:rsidTr="00446F84">
        <w:tc>
          <w:tcPr>
            <w:tcW w:w="1697" w:type="dxa"/>
            <w:shd w:val="clear" w:color="auto" w:fill="auto"/>
            <w:vAlign w:val="center"/>
          </w:tcPr>
          <w:p w14:paraId="24D7DA6F" w14:textId="77777777" w:rsidR="00703CF8" w:rsidRPr="0078670A" w:rsidRDefault="00F54B92" w:rsidP="00232F83">
            <w:pPr>
              <w:tabs>
                <w:tab w:val="left" w:pos="0"/>
                <w:tab w:val="left" w:pos="210"/>
              </w:tabs>
              <w:spacing w:line="360" w:lineRule="auto"/>
              <w:rPr>
                <w:b/>
                <w:sz w:val="22"/>
                <w:szCs w:val="22"/>
              </w:rPr>
            </w:pPr>
            <w:r w:rsidRPr="0078670A">
              <w:rPr>
                <w:b/>
                <w:sz w:val="22"/>
                <w:szCs w:val="22"/>
              </w:rPr>
              <w:t>KYS</w:t>
            </w:r>
            <w:r w:rsidR="00703CF8" w:rsidRPr="0078670A">
              <w:rPr>
                <w:b/>
                <w:sz w:val="22"/>
                <w:szCs w:val="22"/>
              </w:rPr>
              <w:t xml:space="preserve"> SÜREÇLERİ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7E3A6F9" w14:textId="77777777" w:rsidR="000C61A3" w:rsidRPr="0078670A" w:rsidRDefault="000C61A3" w:rsidP="000C61A3">
            <w:pPr>
              <w:rPr>
                <w:sz w:val="22"/>
                <w:szCs w:val="22"/>
              </w:rPr>
            </w:pPr>
            <w:r w:rsidRPr="0078670A">
              <w:rPr>
                <w:sz w:val="22"/>
                <w:szCs w:val="22"/>
              </w:rPr>
              <w:t>PR</w:t>
            </w:r>
            <w:r w:rsidR="00654E9F">
              <w:rPr>
                <w:sz w:val="22"/>
                <w:szCs w:val="22"/>
              </w:rPr>
              <w:t>.</w:t>
            </w:r>
            <w:r w:rsidRPr="0078670A">
              <w:rPr>
                <w:sz w:val="22"/>
                <w:szCs w:val="22"/>
              </w:rPr>
              <w:t>001 DOKÜMANLARIN HAZIRLANMASI VE KONTROLÜ PROSESİ</w:t>
            </w:r>
          </w:p>
          <w:p w14:paraId="43895F58" w14:textId="77777777" w:rsidR="000C61A3" w:rsidRPr="0078670A" w:rsidRDefault="000C61A3" w:rsidP="000C61A3">
            <w:pPr>
              <w:rPr>
                <w:sz w:val="22"/>
                <w:szCs w:val="22"/>
              </w:rPr>
            </w:pPr>
            <w:r w:rsidRPr="0078670A">
              <w:rPr>
                <w:sz w:val="22"/>
                <w:szCs w:val="22"/>
              </w:rPr>
              <w:t>PR</w:t>
            </w:r>
            <w:r w:rsidR="00654E9F">
              <w:rPr>
                <w:sz w:val="22"/>
                <w:szCs w:val="22"/>
              </w:rPr>
              <w:t>.</w:t>
            </w:r>
            <w:r w:rsidRPr="0078670A">
              <w:rPr>
                <w:sz w:val="22"/>
                <w:szCs w:val="22"/>
              </w:rPr>
              <w:t>002 EĞİTİM PROSESİ</w:t>
            </w:r>
          </w:p>
          <w:p w14:paraId="081B985A" w14:textId="77777777" w:rsidR="000C61A3" w:rsidRPr="0078670A" w:rsidRDefault="000C61A3" w:rsidP="000C61A3">
            <w:pPr>
              <w:rPr>
                <w:sz w:val="22"/>
                <w:szCs w:val="22"/>
              </w:rPr>
            </w:pPr>
            <w:r w:rsidRPr="0078670A">
              <w:rPr>
                <w:sz w:val="22"/>
                <w:szCs w:val="22"/>
              </w:rPr>
              <w:t>PR</w:t>
            </w:r>
            <w:r w:rsidR="00654E9F">
              <w:rPr>
                <w:sz w:val="22"/>
                <w:szCs w:val="22"/>
              </w:rPr>
              <w:t>.</w:t>
            </w:r>
            <w:r w:rsidRPr="0078670A">
              <w:rPr>
                <w:sz w:val="22"/>
                <w:szCs w:val="22"/>
              </w:rPr>
              <w:t>003 SATIN ALMA PROSESİ</w:t>
            </w:r>
          </w:p>
          <w:p w14:paraId="25B05EF5" w14:textId="77777777" w:rsidR="000C61A3" w:rsidRPr="0078670A" w:rsidRDefault="000C61A3" w:rsidP="000C61A3">
            <w:pPr>
              <w:rPr>
                <w:sz w:val="22"/>
                <w:szCs w:val="22"/>
              </w:rPr>
            </w:pPr>
            <w:r w:rsidRPr="0078670A">
              <w:rPr>
                <w:sz w:val="22"/>
                <w:szCs w:val="22"/>
              </w:rPr>
              <w:t>PR</w:t>
            </w:r>
            <w:r w:rsidR="00654E9F">
              <w:rPr>
                <w:sz w:val="22"/>
                <w:szCs w:val="22"/>
              </w:rPr>
              <w:t>.</w:t>
            </w:r>
            <w:r w:rsidRPr="0078670A">
              <w:rPr>
                <w:sz w:val="22"/>
                <w:szCs w:val="22"/>
              </w:rPr>
              <w:t>004 RİSK VE FIRSATLARIDEĞERLENDİRME PROSESİ</w:t>
            </w:r>
          </w:p>
          <w:p w14:paraId="7A37A18F" w14:textId="77777777" w:rsidR="000C61A3" w:rsidRPr="0078670A" w:rsidRDefault="000C61A3" w:rsidP="000C61A3">
            <w:pPr>
              <w:rPr>
                <w:sz w:val="22"/>
                <w:szCs w:val="22"/>
              </w:rPr>
            </w:pPr>
            <w:r w:rsidRPr="0078670A">
              <w:rPr>
                <w:sz w:val="22"/>
                <w:szCs w:val="22"/>
              </w:rPr>
              <w:t>PR</w:t>
            </w:r>
            <w:r w:rsidR="00654E9F">
              <w:rPr>
                <w:sz w:val="22"/>
                <w:szCs w:val="22"/>
              </w:rPr>
              <w:t>.</w:t>
            </w:r>
            <w:r w:rsidRPr="0078670A">
              <w:rPr>
                <w:sz w:val="22"/>
                <w:szCs w:val="22"/>
              </w:rPr>
              <w:t>005 YASAL ŞARTLARIN KONTROLÜ PROSESİ</w:t>
            </w:r>
          </w:p>
          <w:p w14:paraId="433DF2DF" w14:textId="77777777" w:rsidR="000C61A3" w:rsidRPr="0078670A" w:rsidRDefault="000C61A3" w:rsidP="000C61A3">
            <w:pPr>
              <w:rPr>
                <w:sz w:val="22"/>
                <w:szCs w:val="22"/>
              </w:rPr>
            </w:pPr>
            <w:r w:rsidRPr="0078670A">
              <w:rPr>
                <w:sz w:val="22"/>
                <w:szCs w:val="22"/>
              </w:rPr>
              <w:t>PR</w:t>
            </w:r>
            <w:r w:rsidR="00654E9F">
              <w:rPr>
                <w:sz w:val="22"/>
                <w:szCs w:val="22"/>
              </w:rPr>
              <w:t>.</w:t>
            </w:r>
            <w:r w:rsidRPr="0078670A">
              <w:rPr>
                <w:sz w:val="22"/>
                <w:szCs w:val="22"/>
              </w:rPr>
              <w:t>006 MUAYENE VE TESLİM ALMA PROSESİ</w:t>
            </w:r>
          </w:p>
          <w:p w14:paraId="3A9B1BAB" w14:textId="77777777" w:rsidR="000C61A3" w:rsidRPr="0078670A" w:rsidRDefault="000C61A3" w:rsidP="000C61A3">
            <w:pPr>
              <w:rPr>
                <w:sz w:val="22"/>
                <w:szCs w:val="22"/>
              </w:rPr>
            </w:pPr>
            <w:r w:rsidRPr="0078670A">
              <w:rPr>
                <w:sz w:val="22"/>
                <w:szCs w:val="22"/>
              </w:rPr>
              <w:t>PR</w:t>
            </w:r>
            <w:r w:rsidR="00654E9F">
              <w:rPr>
                <w:sz w:val="22"/>
                <w:szCs w:val="22"/>
              </w:rPr>
              <w:t>.</w:t>
            </w:r>
            <w:r w:rsidRPr="0078670A">
              <w:rPr>
                <w:sz w:val="22"/>
                <w:szCs w:val="22"/>
              </w:rPr>
              <w:t>007 PERFORMANS İZLEME VE ÖLÇME PROSESİ</w:t>
            </w:r>
          </w:p>
          <w:p w14:paraId="6B8153F9" w14:textId="77777777" w:rsidR="000C61A3" w:rsidRPr="0078670A" w:rsidRDefault="000C61A3" w:rsidP="000C61A3">
            <w:pPr>
              <w:rPr>
                <w:sz w:val="22"/>
                <w:szCs w:val="22"/>
              </w:rPr>
            </w:pPr>
            <w:r w:rsidRPr="0078670A">
              <w:rPr>
                <w:sz w:val="22"/>
                <w:szCs w:val="22"/>
              </w:rPr>
              <w:t>PR</w:t>
            </w:r>
            <w:r w:rsidR="00654E9F">
              <w:rPr>
                <w:sz w:val="22"/>
                <w:szCs w:val="22"/>
              </w:rPr>
              <w:t>.</w:t>
            </w:r>
            <w:r w:rsidRPr="0078670A">
              <w:rPr>
                <w:sz w:val="22"/>
                <w:szCs w:val="22"/>
              </w:rPr>
              <w:t>008 İÇ TETKİK PROSESİ</w:t>
            </w:r>
          </w:p>
          <w:p w14:paraId="5B7F6407" w14:textId="77777777" w:rsidR="000C61A3" w:rsidRPr="0078670A" w:rsidRDefault="000C61A3" w:rsidP="000C61A3">
            <w:pPr>
              <w:rPr>
                <w:sz w:val="22"/>
                <w:szCs w:val="22"/>
              </w:rPr>
            </w:pPr>
            <w:r w:rsidRPr="0078670A">
              <w:rPr>
                <w:sz w:val="22"/>
                <w:szCs w:val="22"/>
              </w:rPr>
              <w:t>PR</w:t>
            </w:r>
            <w:r w:rsidR="00654E9F">
              <w:rPr>
                <w:sz w:val="22"/>
                <w:szCs w:val="22"/>
              </w:rPr>
              <w:t>.</w:t>
            </w:r>
            <w:r w:rsidRPr="0078670A">
              <w:rPr>
                <w:sz w:val="22"/>
                <w:szCs w:val="22"/>
              </w:rPr>
              <w:t>009 KALİTE KAYITLARININ KONTROLÜ PROSESİ</w:t>
            </w:r>
          </w:p>
          <w:p w14:paraId="412D4206" w14:textId="77777777" w:rsidR="000C61A3" w:rsidRPr="0078670A" w:rsidRDefault="000C61A3" w:rsidP="000C61A3">
            <w:pPr>
              <w:rPr>
                <w:sz w:val="22"/>
                <w:szCs w:val="22"/>
              </w:rPr>
            </w:pPr>
            <w:r w:rsidRPr="0078670A">
              <w:rPr>
                <w:sz w:val="22"/>
                <w:szCs w:val="22"/>
              </w:rPr>
              <w:t>PR</w:t>
            </w:r>
            <w:r w:rsidR="00654E9F">
              <w:rPr>
                <w:sz w:val="22"/>
                <w:szCs w:val="22"/>
              </w:rPr>
              <w:t>.</w:t>
            </w:r>
            <w:r w:rsidRPr="0078670A">
              <w:rPr>
                <w:sz w:val="22"/>
                <w:szCs w:val="22"/>
              </w:rPr>
              <w:t>010 YÖNETİMİN GÖZDEN GEÇİRME PROSESİ</w:t>
            </w:r>
          </w:p>
          <w:p w14:paraId="004AC616" w14:textId="77777777" w:rsidR="000C61A3" w:rsidRPr="0078670A" w:rsidRDefault="000C61A3" w:rsidP="000C61A3">
            <w:pPr>
              <w:rPr>
                <w:sz w:val="22"/>
                <w:szCs w:val="22"/>
              </w:rPr>
            </w:pPr>
            <w:r w:rsidRPr="0078670A">
              <w:rPr>
                <w:sz w:val="22"/>
                <w:szCs w:val="22"/>
              </w:rPr>
              <w:t>PR</w:t>
            </w:r>
            <w:r w:rsidR="00654E9F">
              <w:rPr>
                <w:sz w:val="22"/>
                <w:szCs w:val="22"/>
              </w:rPr>
              <w:t>.</w:t>
            </w:r>
            <w:r w:rsidRPr="0078670A">
              <w:rPr>
                <w:sz w:val="22"/>
                <w:szCs w:val="22"/>
              </w:rPr>
              <w:t>011 TASARIM VE GELİŞTİRME PROSESİ</w:t>
            </w:r>
          </w:p>
          <w:p w14:paraId="4F9DEEAB" w14:textId="77777777" w:rsidR="000C61A3" w:rsidRPr="0078670A" w:rsidRDefault="000C61A3" w:rsidP="000C61A3">
            <w:pPr>
              <w:rPr>
                <w:sz w:val="22"/>
                <w:szCs w:val="22"/>
              </w:rPr>
            </w:pPr>
            <w:r w:rsidRPr="0078670A">
              <w:rPr>
                <w:sz w:val="22"/>
                <w:szCs w:val="22"/>
              </w:rPr>
              <w:t>PR</w:t>
            </w:r>
            <w:r w:rsidR="00654E9F">
              <w:rPr>
                <w:sz w:val="22"/>
                <w:szCs w:val="22"/>
              </w:rPr>
              <w:t>.</w:t>
            </w:r>
            <w:r w:rsidRPr="0078670A">
              <w:rPr>
                <w:sz w:val="22"/>
                <w:szCs w:val="22"/>
              </w:rPr>
              <w:t>012 SÜREKLİ İYİLEŞTİRME PROSESİ</w:t>
            </w:r>
          </w:p>
          <w:p w14:paraId="78D9E432" w14:textId="77777777" w:rsidR="000C61A3" w:rsidRPr="0078670A" w:rsidRDefault="000C61A3" w:rsidP="000C61A3">
            <w:pPr>
              <w:rPr>
                <w:sz w:val="22"/>
                <w:szCs w:val="22"/>
              </w:rPr>
            </w:pPr>
            <w:r w:rsidRPr="0078670A">
              <w:rPr>
                <w:sz w:val="22"/>
                <w:szCs w:val="22"/>
              </w:rPr>
              <w:t>PR</w:t>
            </w:r>
            <w:r w:rsidR="00654E9F">
              <w:rPr>
                <w:sz w:val="22"/>
                <w:szCs w:val="22"/>
              </w:rPr>
              <w:t>.</w:t>
            </w:r>
            <w:r w:rsidRPr="0078670A">
              <w:rPr>
                <w:sz w:val="22"/>
                <w:szCs w:val="22"/>
              </w:rPr>
              <w:t>013 UYGUNSUZLUKLARIN KONTROLÜ PROSESİ</w:t>
            </w:r>
          </w:p>
          <w:p w14:paraId="5A1444BA" w14:textId="77777777" w:rsidR="00F801E3" w:rsidRPr="0078670A" w:rsidRDefault="00F801E3" w:rsidP="000C61A3">
            <w:pPr>
              <w:rPr>
                <w:sz w:val="22"/>
                <w:szCs w:val="22"/>
              </w:rPr>
            </w:pPr>
            <w:r w:rsidRPr="0078670A">
              <w:rPr>
                <w:sz w:val="22"/>
                <w:szCs w:val="22"/>
              </w:rPr>
              <w:t>PRS</w:t>
            </w:r>
            <w:r w:rsidR="00654E9F">
              <w:rPr>
                <w:sz w:val="22"/>
                <w:szCs w:val="22"/>
              </w:rPr>
              <w:t>.</w:t>
            </w:r>
            <w:r w:rsidRPr="0078670A">
              <w:rPr>
                <w:sz w:val="22"/>
                <w:szCs w:val="22"/>
              </w:rPr>
              <w:t>01 YETERLİLİK, EĞİTİM VE FARKINDALIK PROSEDÜRÜ</w:t>
            </w:r>
          </w:p>
          <w:p w14:paraId="569D896E" w14:textId="77777777" w:rsidR="00F801E3" w:rsidRPr="0078670A" w:rsidRDefault="00F801E3" w:rsidP="000C61A3">
            <w:pPr>
              <w:rPr>
                <w:sz w:val="22"/>
                <w:szCs w:val="22"/>
              </w:rPr>
            </w:pPr>
            <w:r w:rsidRPr="0078670A">
              <w:rPr>
                <w:sz w:val="22"/>
                <w:szCs w:val="22"/>
              </w:rPr>
              <w:t>PRS</w:t>
            </w:r>
            <w:r w:rsidR="00654E9F">
              <w:rPr>
                <w:sz w:val="22"/>
                <w:szCs w:val="22"/>
              </w:rPr>
              <w:t>.</w:t>
            </w:r>
            <w:r w:rsidRPr="0078670A">
              <w:rPr>
                <w:sz w:val="22"/>
                <w:szCs w:val="22"/>
              </w:rPr>
              <w:t>02 İLETİŞİM PROSEDÜRÜ</w:t>
            </w:r>
          </w:p>
          <w:p w14:paraId="74AE3672" w14:textId="77777777" w:rsidR="000C61A3" w:rsidRPr="0078670A" w:rsidRDefault="000C61A3" w:rsidP="000C61A3">
            <w:pPr>
              <w:rPr>
                <w:sz w:val="22"/>
                <w:szCs w:val="22"/>
              </w:rPr>
            </w:pPr>
            <w:r w:rsidRPr="0078670A">
              <w:rPr>
                <w:sz w:val="22"/>
                <w:szCs w:val="22"/>
              </w:rPr>
              <w:t>PRS</w:t>
            </w:r>
            <w:r w:rsidR="00654E9F">
              <w:rPr>
                <w:sz w:val="22"/>
                <w:szCs w:val="22"/>
              </w:rPr>
              <w:t>.</w:t>
            </w:r>
            <w:r w:rsidRPr="0078670A">
              <w:rPr>
                <w:sz w:val="22"/>
                <w:szCs w:val="22"/>
              </w:rPr>
              <w:t xml:space="preserve"> 03 HİZMETALAN MEMNUNİYET PROSEDÜRÜ</w:t>
            </w:r>
          </w:p>
          <w:p w14:paraId="5A6BAC6C" w14:textId="77777777" w:rsidR="000C61A3" w:rsidRPr="0078670A" w:rsidRDefault="00F801E3" w:rsidP="000C61A3">
            <w:pPr>
              <w:rPr>
                <w:sz w:val="22"/>
                <w:szCs w:val="22"/>
              </w:rPr>
            </w:pPr>
            <w:r w:rsidRPr="0078670A">
              <w:rPr>
                <w:sz w:val="22"/>
                <w:szCs w:val="22"/>
              </w:rPr>
              <w:t>PRS</w:t>
            </w:r>
            <w:r w:rsidR="00654E9F">
              <w:rPr>
                <w:sz w:val="22"/>
                <w:szCs w:val="22"/>
              </w:rPr>
              <w:t>.</w:t>
            </w:r>
            <w:r w:rsidRPr="0078670A">
              <w:rPr>
                <w:sz w:val="22"/>
                <w:szCs w:val="22"/>
              </w:rPr>
              <w:t>04</w:t>
            </w:r>
            <w:r w:rsidR="000C61A3" w:rsidRPr="0078670A">
              <w:rPr>
                <w:sz w:val="22"/>
                <w:szCs w:val="22"/>
              </w:rPr>
              <w:t xml:space="preserve"> ARŞİV PROSEDÜRÜ</w:t>
            </w:r>
          </w:p>
          <w:p w14:paraId="6FC2928F" w14:textId="77777777" w:rsidR="0040257F" w:rsidRPr="0078670A" w:rsidRDefault="00F801E3" w:rsidP="000C61A3">
            <w:pPr>
              <w:rPr>
                <w:sz w:val="22"/>
                <w:szCs w:val="22"/>
              </w:rPr>
            </w:pPr>
            <w:r w:rsidRPr="0078670A">
              <w:rPr>
                <w:sz w:val="22"/>
                <w:szCs w:val="22"/>
              </w:rPr>
              <w:t>PRS</w:t>
            </w:r>
            <w:r w:rsidR="00654E9F">
              <w:rPr>
                <w:sz w:val="22"/>
                <w:szCs w:val="22"/>
              </w:rPr>
              <w:t>.</w:t>
            </w:r>
            <w:r w:rsidRPr="0078670A">
              <w:rPr>
                <w:sz w:val="22"/>
                <w:szCs w:val="22"/>
              </w:rPr>
              <w:t>05</w:t>
            </w:r>
            <w:r w:rsidR="000C61A3" w:rsidRPr="0078670A">
              <w:rPr>
                <w:sz w:val="22"/>
                <w:szCs w:val="22"/>
              </w:rPr>
              <w:t xml:space="preserve"> DÜZELTİCİ FAALİYET PROSEDÜRÜ</w:t>
            </w:r>
          </w:p>
          <w:p w14:paraId="167D644C" w14:textId="77777777" w:rsidR="00F801E3" w:rsidRPr="0078670A" w:rsidRDefault="00F801E3" w:rsidP="000C61A3">
            <w:pPr>
              <w:rPr>
                <w:sz w:val="22"/>
                <w:szCs w:val="22"/>
              </w:rPr>
            </w:pPr>
            <w:r w:rsidRPr="0078670A">
              <w:rPr>
                <w:sz w:val="22"/>
                <w:szCs w:val="22"/>
              </w:rPr>
              <w:t>PRS</w:t>
            </w:r>
            <w:r w:rsidR="00654E9F">
              <w:rPr>
                <w:sz w:val="22"/>
                <w:szCs w:val="22"/>
              </w:rPr>
              <w:t>.</w:t>
            </w:r>
            <w:r w:rsidRPr="0078670A">
              <w:rPr>
                <w:sz w:val="22"/>
                <w:szCs w:val="22"/>
              </w:rPr>
              <w:t>06 MÜŞTERİ VE DIŞ TEDARİKÇİ MÜLKİYETİNİ KORUMA PROSEDÜRÜ</w:t>
            </w:r>
          </w:p>
        </w:tc>
      </w:tr>
      <w:tr w:rsidR="00451F26" w:rsidRPr="0078670A" w14:paraId="4CD8C1FD" w14:textId="77777777" w:rsidTr="00446F8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75"/>
        </w:trPr>
        <w:tc>
          <w:tcPr>
            <w:tcW w:w="9635" w:type="dxa"/>
            <w:gridSpan w:val="2"/>
            <w:shd w:val="clear" w:color="auto" w:fill="auto"/>
            <w:vAlign w:val="center"/>
          </w:tcPr>
          <w:p w14:paraId="6147D135" w14:textId="77777777" w:rsidR="00451F26" w:rsidRPr="0078670A" w:rsidRDefault="00451F26" w:rsidP="00451F26">
            <w:pPr>
              <w:pStyle w:val="Balk1"/>
              <w:outlineLvl w:val="0"/>
              <w:rPr>
                <w:rStyle w:val="Vurgu"/>
                <w:b w:val="0"/>
                <w:i w:val="0"/>
                <w:iCs w:val="0"/>
                <w:color w:val="000000" w:themeColor="text1"/>
                <w:sz w:val="22"/>
                <w:szCs w:val="22"/>
              </w:rPr>
            </w:pPr>
            <w:r w:rsidRPr="0078670A">
              <w:rPr>
                <w:rStyle w:val="Vurgu"/>
                <w:b w:val="0"/>
                <w:i w:val="0"/>
                <w:iCs w:val="0"/>
                <w:color w:val="000000" w:themeColor="text1"/>
                <w:sz w:val="22"/>
                <w:szCs w:val="22"/>
              </w:rPr>
              <w:lastRenderedPageBreak/>
              <w:t xml:space="preserve">ÜST YÖNETIMIN TAAHHÜTÜ </w:t>
            </w:r>
          </w:p>
          <w:p w14:paraId="1B31DA6A" w14:textId="77777777" w:rsidR="00451F26" w:rsidRPr="0078670A" w:rsidRDefault="00451F26" w:rsidP="00451F26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14:paraId="6294C728" w14:textId="77777777" w:rsidR="00451F26" w:rsidRPr="0078670A" w:rsidRDefault="00451F26" w:rsidP="00451F26">
            <w:pPr>
              <w:rPr>
                <w:color w:val="000000" w:themeColor="text1"/>
                <w:sz w:val="22"/>
                <w:szCs w:val="22"/>
              </w:rPr>
            </w:pPr>
          </w:p>
          <w:p w14:paraId="00A941A5" w14:textId="77777777" w:rsidR="00451F26" w:rsidRPr="0078670A" w:rsidRDefault="004B2AD8" w:rsidP="00451F26">
            <w:pPr>
              <w:pStyle w:val="stBilgi"/>
              <w:spacing w:line="360" w:lineRule="auto"/>
              <w:jc w:val="both"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 xml:space="preserve">                     Öğrenci ve kursiyer</w:t>
            </w:r>
            <w:r w:rsidR="00451F26"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 xml:space="preserve"> her </w:t>
            </w:r>
            <w:proofErr w:type="gramStart"/>
            <w:r w:rsidR="00451F26"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>zaman,  Eğitim</w:t>
            </w:r>
            <w:proofErr w:type="gramEnd"/>
            <w:r w:rsidR="00451F26"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 xml:space="preserve"> ve Öğretim hizmet sunma isteği, </w:t>
            </w:r>
            <w:r w:rsidR="000C61A3"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>Kalite</w:t>
            </w:r>
            <w:r w:rsidR="00451F26"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 xml:space="preserve"> Yönetim Sistemi </w:t>
            </w:r>
            <w:proofErr w:type="spellStart"/>
            <w:r w:rsidR="00451F26"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>standartı</w:t>
            </w:r>
            <w:proofErr w:type="spellEnd"/>
            <w:r w:rsidR="00451F26"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 xml:space="preserve"> şartlarını sağlayan </w:t>
            </w:r>
            <w:r w:rsidR="000C61A3"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>Kalite</w:t>
            </w:r>
            <w:r w:rsidR="00451F26"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 xml:space="preserve"> Yönetim Sistemimizin uygulanmasına ve sürekli olarak gelişmesine bağlı</w:t>
            </w:r>
            <w:r w:rsidR="00AB33FC"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>,hesap verilebilir</w:t>
            </w:r>
            <w:r w:rsidR="00451F26"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 xml:space="preserve"> olmamızın önemli nedenlerinden birisidir. Bu bağlılık ve </w:t>
            </w:r>
            <w:proofErr w:type="spellStart"/>
            <w:r w:rsidR="00451F26"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>taahhütümüzü</w:t>
            </w:r>
            <w:proofErr w:type="spellEnd"/>
            <w:r w:rsidR="00451F26"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 xml:space="preserve"> daha iyi göstermek için: </w:t>
            </w:r>
            <w:proofErr w:type="spellStart"/>
            <w:r w:rsidR="00F54B92"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>KYS</w:t>
            </w:r>
            <w:r w:rsidR="00451F26"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>'nin</w:t>
            </w:r>
            <w:proofErr w:type="spellEnd"/>
            <w:r w:rsidR="00451F26"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 xml:space="preserve"> sürekli iyileştirilmesi amacıyla iç denetimleri özenle uyguluyoruz; Hizmet kalitemizi arttırmak için Okulumuz bünyesinde Proses Yaklaşımı ve Risk Temelli düşünme konusunda gerekli farkındalık eğitimlerimizi yaygınlaştırırken </w:t>
            </w:r>
            <w:r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 xml:space="preserve">Kursiyer ve </w:t>
            </w:r>
            <w:r w:rsidR="000C61A3"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>Müşteri</w:t>
            </w:r>
            <w:r w:rsidR="00451F26"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 xml:space="preserve"> Odaklı Düşünme yaklaşımımızı </w:t>
            </w:r>
            <w:r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>kursiyer ve</w:t>
            </w:r>
            <w:r w:rsidR="000C61A3"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>Müşteri m</w:t>
            </w:r>
            <w:r w:rsidR="00451F26"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 xml:space="preserve">emnuniyetinin sürekli olarak artırılması anlayışıyla uyguluyoruz. Uygun </w:t>
            </w:r>
            <w:r w:rsidR="000C61A3"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>KYS</w:t>
            </w:r>
            <w:r w:rsidR="00451F26"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 xml:space="preserve"> faaliyetleri oluşturmak üzere uygulanabilir verilerin toplanması ve analiz edilmesine özen gösteriyoruz; </w:t>
            </w:r>
            <w:r w:rsidR="00AB33FC"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 xml:space="preserve">Okulumuzda uyguladığımız sistemin kuruluşun stratejik yönü ve bağlamı ile uyumlu olduğunu ve gerekli kaynakların oluşturulacağını ve </w:t>
            </w:r>
            <w:proofErr w:type="gramStart"/>
            <w:r w:rsidR="00AB33FC"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>devamlılığını  güvence</w:t>
            </w:r>
            <w:proofErr w:type="gramEnd"/>
            <w:r w:rsidR="00AB33FC" w:rsidRPr="0078670A">
              <w:rPr>
                <w:rStyle w:val="Vurgu"/>
                <w:i w:val="0"/>
                <w:iCs w:val="0"/>
                <w:color w:val="000000" w:themeColor="text1"/>
                <w:sz w:val="22"/>
                <w:szCs w:val="22"/>
              </w:rPr>
              <w:t xml:space="preserve"> altına alır.</w:t>
            </w:r>
          </w:p>
          <w:p w14:paraId="784810EF" w14:textId="77777777" w:rsidR="00451F26" w:rsidRPr="0078670A" w:rsidRDefault="00451F26" w:rsidP="00451F26">
            <w:pPr>
              <w:pStyle w:val="stBilgi"/>
              <w:spacing w:line="360" w:lineRule="auto"/>
              <w:jc w:val="both"/>
              <w:rPr>
                <w:color w:val="FF0000"/>
                <w:sz w:val="22"/>
                <w:szCs w:val="22"/>
              </w:rPr>
            </w:pPr>
          </w:p>
          <w:p w14:paraId="7FBE914A" w14:textId="77777777" w:rsidR="00451F26" w:rsidRPr="0078670A" w:rsidRDefault="00451F26" w:rsidP="000C61A3">
            <w:pPr>
              <w:pStyle w:val="stBilgi"/>
              <w:spacing w:line="360" w:lineRule="auto"/>
              <w:jc w:val="right"/>
              <w:rPr>
                <w:color w:val="FF0000"/>
                <w:sz w:val="22"/>
                <w:szCs w:val="22"/>
              </w:rPr>
            </w:pPr>
            <w:r w:rsidRPr="0078670A">
              <w:rPr>
                <w:color w:val="000000" w:themeColor="text1"/>
                <w:sz w:val="22"/>
                <w:szCs w:val="22"/>
              </w:rPr>
              <w:t xml:space="preserve">Okul Yönetimi                                                                            </w:t>
            </w:r>
          </w:p>
        </w:tc>
      </w:tr>
    </w:tbl>
    <w:p w14:paraId="3296D55C" w14:textId="77777777" w:rsidR="00703CF8" w:rsidRDefault="00703CF8" w:rsidP="00232F83">
      <w:pPr>
        <w:rPr>
          <w:rFonts w:cstheme="minorHAnsi"/>
          <w:b/>
          <w:sz w:val="20"/>
          <w:szCs w:val="20"/>
        </w:rPr>
      </w:pPr>
    </w:p>
    <w:sectPr w:rsidR="00703CF8" w:rsidSect="00751464">
      <w:headerReference w:type="even" r:id="rId7"/>
      <w:headerReference w:type="default" r:id="rId8"/>
      <w:footerReference w:type="default" r:id="rId9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44168" w14:textId="77777777" w:rsidR="00582320" w:rsidRDefault="00582320" w:rsidP="004A3541">
      <w:r>
        <w:separator/>
      </w:r>
    </w:p>
  </w:endnote>
  <w:endnote w:type="continuationSeparator" w:id="0">
    <w:p w14:paraId="45F63A56" w14:textId="77777777" w:rsidR="00582320" w:rsidRDefault="00582320" w:rsidP="004A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091"/>
      <w:gridCol w:w="3697"/>
      <w:gridCol w:w="2852"/>
    </w:tblGrid>
    <w:tr w:rsidR="005A626A" w:rsidRPr="000F754F" w14:paraId="7E0F79EF" w14:textId="77777777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14:paraId="2D1BA7AF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14:paraId="18FCB520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14:paraId="31BD4A38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14:paraId="45D505A8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14:paraId="1846EA88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14:paraId="73A0177B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14:paraId="5FB1ACBD" w14:textId="77777777"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14:paraId="3E3CAD98" w14:textId="77777777"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14:paraId="38DC7F61" w14:textId="77777777"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14:paraId="32C5D3E4" w14:textId="77777777" w:rsidR="00F65912" w:rsidRPr="00565DB5" w:rsidRDefault="00F65912">
    <w:pPr>
      <w:pStyle w:val="AltBilgi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6110D" w14:textId="77777777" w:rsidR="00582320" w:rsidRDefault="00582320" w:rsidP="004A3541">
      <w:r>
        <w:separator/>
      </w:r>
    </w:p>
  </w:footnote>
  <w:footnote w:type="continuationSeparator" w:id="0">
    <w:p w14:paraId="3F31AA30" w14:textId="77777777" w:rsidR="00582320" w:rsidRDefault="00582320" w:rsidP="004A3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8189" w14:textId="77777777" w:rsidR="00A017E4" w:rsidRDefault="003E41A0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07C523A3" w14:textId="77777777" w:rsidR="00A017E4" w:rsidRDefault="00A017E4" w:rsidP="00A017E4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0"/>
      <w:gridCol w:w="4278"/>
      <w:gridCol w:w="1487"/>
      <w:gridCol w:w="1749"/>
    </w:tblGrid>
    <w:tr w:rsidR="00205952" w:rsidRPr="00984306" w14:paraId="72D2ADDF" w14:textId="77777777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14:paraId="3E4AF8B8" w14:textId="77777777"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 wp14:anchorId="44AA8740" wp14:editId="5D136EAD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14:paraId="5D348BA6" w14:textId="77777777" w:rsidR="00205952" w:rsidRPr="00A25166" w:rsidRDefault="00446F84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E00395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14:paraId="43DE5338" w14:textId="77777777"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14:paraId="432B651C" w14:textId="77777777"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 xml:space="preserve">FR. </w:t>
          </w:r>
          <w:r w:rsidR="00446F84">
            <w:rPr>
              <w:rFonts w:ascii="Calibri" w:hAnsi="Calibri" w:cs="Calibri"/>
              <w:sz w:val="20"/>
              <w:szCs w:val="20"/>
            </w:rPr>
            <w:t>003</w:t>
          </w:r>
        </w:p>
      </w:tc>
    </w:tr>
    <w:tr w:rsidR="00F224EC" w:rsidRPr="00984306" w14:paraId="079C59AF" w14:textId="77777777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14:paraId="176547E3" w14:textId="77777777"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14:paraId="23839D51" w14:textId="77777777"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14:paraId="0B36FBB4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14:paraId="5762E29C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14:paraId="6EC06ED3" w14:textId="77777777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14:paraId="14294E57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14:paraId="0FAF2930" w14:textId="77777777" w:rsidR="00F224EC" w:rsidRPr="00A25166" w:rsidRDefault="006D46A4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K</w:t>
          </w:r>
          <w:r w:rsidR="00F224EC">
            <w:rPr>
              <w:rFonts w:asciiTheme="minorHAnsi" w:hAnsiTheme="minorHAnsi" w:cstheme="minorHAnsi"/>
              <w:b/>
            </w:rPr>
            <w:t>YS KAPSAMININ BELİRLENMESİ</w:t>
          </w:r>
          <w:r w:rsidR="00F224EC" w:rsidRPr="00A25166">
            <w:rPr>
              <w:rFonts w:asciiTheme="minorHAnsi" w:hAnsiTheme="minorHAnsi" w:cstheme="minorHAnsi"/>
              <w:b/>
            </w:rPr>
            <w:t xml:space="preserve"> FORMU</w:t>
          </w:r>
        </w:p>
      </w:tc>
      <w:tc>
        <w:tcPr>
          <w:tcW w:w="1560" w:type="dxa"/>
          <w:vAlign w:val="center"/>
        </w:tcPr>
        <w:p w14:paraId="4DCBD826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14:paraId="20300F1C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14:paraId="4A31EB79" w14:textId="77777777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14:paraId="676883B2" w14:textId="77777777"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14:paraId="2F9124FF" w14:textId="77777777"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14:paraId="6E45229A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14:paraId="6D4D5139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14:paraId="7D5FE87B" w14:textId="77777777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14:paraId="78234CDB" w14:textId="77777777"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14:paraId="7D486DD5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14:paraId="5EAA8361" w14:textId="77777777"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14:paraId="4E7F1BF2" w14:textId="77777777" w:rsidR="00F224EC" w:rsidRPr="00565DB5" w:rsidRDefault="003E41A0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E00395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E00395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14:paraId="6366A128" w14:textId="77777777"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38682358"/>
    <w:multiLevelType w:val="hybridMultilevel"/>
    <w:tmpl w:val="CDA6D35C"/>
    <w:lvl w:ilvl="0" w:tplc="0E4CC02C">
      <w:start w:val="3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02124"/>
        <w:sz w:val="21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3"/>
  </w:num>
  <w:num w:numId="12">
    <w:abstractNumId w:val="16"/>
  </w:num>
  <w:num w:numId="13">
    <w:abstractNumId w:val="17"/>
  </w:num>
  <w:num w:numId="14">
    <w:abstractNumId w:val="14"/>
  </w:num>
  <w:num w:numId="15">
    <w:abstractNumId w:val="7"/>
  </w:num>
  <w:num w:numId="16">
    <w:abstractNumId w:val="3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541"/>
    <w:rsid w:val="000207D1"/>
    <w:rsid w:val="00026B17"/>
    <w:rsid w:val="00030328"/>
    <w:rsid w:val="00080DAD"/>
    <w:rsid w:val="00096CE4"/>
    <w:rsid w:val="000C61A3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F0060"/>
    <w:rsid w:val="002F394D"/>
    <w:rsid w:val="0030703C"/>
    <w:rsid w:val="0032225E"/>
    <w:rsid w:val="00375A00"/>
    <w:rsid w:val="00376EE4"/>
    <w:rsid w:val="00396248"/>
    <w:rsid w:val="003A3887"/>
    <w:rsid w:val="003C0B37"/>
    <w:rsid w:val="003C3BE3"/>
    <w:rsid w:val="003E41A0"/>
    <w:rsid w:val="0040257F"/>
    <w:rsid w:val="00414BF9"/>
    <w:rsid w:val="00423106"/>
    <w:rsid w:val="00444FD0"/>
    <w:rsid w:val="00446F84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B2AD8"/>
    <w:rsid w:val="004E2347"/>
    <w:rsid w:val="005068E9"/>
    <w:rsid w:val="00516591"/>
    <w:rsid w:val="00516E84"/>
    <w:rsid w:val="005515D6"/>
    <w:rsid w:val="00565DB5"/>
    <w:rsid w:val="00580BC3"/>
    <w:rsid w:val="00582320"/>
    <w:rsid w:val="005A2E7C"/>
    <w:rsid w:val="005A626A"/>
    <w:rsid w:val="005F32CF"/>
    <w:rsid w:val="005F741A"/>
    <w:rsid w:val="00603A4F"/>
    <w:rsid w:val="00611047"/>
    <w:rsid w:val="00615F94"/>
    <w:rsid w:val="0061660C"/>
    <w:rsid w:val="00632694"/>
    <w:rsid w:val="006479D0"/>
    <w:rsid w:val="00654E9F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670A"/>
    <w:rsid w:val="007B72F9"/>
    <w:rsid w:val="007C20AE"/>
    <w:rsid w:val="007D0A18"/>
    <w:rsid w:val="008273C6"/>
    <w:rsid w:val="008336D4"/>
    <w:rsid w:val="00843483"/>
    <w:rsid w:val="00862051"/>
    <w:rsid w:val="00882821"/>
    <w:rsid w:val="008A7ED9"/>
    <w:rsid w:val="008D72B5"/>
    <w:rsid w:val="009342B8"/>
    <w:rsid w:val="00947587"/>
    <w:rsid w:val="009614CD"/>
    <w:rsid w:val="00981150"/>
    <w:rsid w:val="00984306"/>
    <w:rsid w:val="009A3B2A"/>
    <w:rsid w:val="009B63D5"/>
    <w:rsid w:val="009C5488"/>
    <w:rsid w:val="00A017E4"/>
    <w:rsid w:val="00A22C74"/>
    <w:rsid w:val="00A2416C"/>
    <w:rsid w:val="00A25166"/>
    <w:rsid w:val="00A30429"/>
    <w:rsid w:val="00A50CD2"/>
    <w:rsid w:val="00A61F4C"/>
    <w:rsid w:val="00AB33FC"/>
    <w:rsid w:val="00AE4AA1"/>
    <w:rsid w:val="00B71452"/>
    <w:rsid w:val="00B87814"/>
    <w:rsid w:val="00B913F7"/>
    <w:rsid w:val="00B91DA9"/>
    <w:rsid w:val="00BC6C25"/>
    <w:rsid w:val="00BD5CD4"/>
    <w:rsid w:val="00C01646"/>
    <w:rsid w:val="00C406DE"/>
    <w:rsid w:val="00C74E40"/>
    <w:rsid w:val="00C76B03"/>
    <w:rsid w:val="00C823D8"/>
    <w:rsid w:val="00CB52DA"/>
    <w:rsid w:val="00CC1753"/>
    <w:rsid w:val="00D042C1"/>
    <w:rsid w:val="00D103AF"/>
    <w:rsid w:val="00D116FB"/>
    <w:rsid w:val="00D125E6"/>
    <w:rsid w:val="00D226A6"/>
    <w:rsid w:val="00D23623"/>
    <w:rsid w:val="00D272E0"/>
    <w:rsid w:val="00D62671"/>
    <w:rsid w:val="00D65724"/>
    <w:rsid w:val="00DA17DB"/>
    <w:rsid w:val="00DA52E0"/>
    <w:rsid w:val="00DB4792"/>
    <w:rsid w:val="00E00395"/>
    <w:rsid w:val="00E651E9"/>
    <w:rsid w:val="00E70110"/>
    <w:rsid w:val="00E7574B"/>
    <w:rsid w:val="00E861BA"/>
    <w:rsid w:val="00E95CBD"/>
    <w:rsid w:val="00EC16BB"/>
    <w:rsid w:val="00EE38B0"/>
    <w:rsid w:val="00EE6D3C"/>
    <w:rsid w:val="00EF0EDE"/>
    <w:rsid w:val="00EF354D"/>
    <w:rsid w:val="00F224EC"/>
    <w:rsid w:val="00F33D3D"/>
    <w:rsid w:val="00F35F56"/>
    <w:rsid w:val="00F454B4"/>
    <w:rsid w:val="00F54B92"/>
    <w:rsid w:val="00F562D8"/>
    <w:rsid w:val="00F65912"/>
    <w:rsid w:val="00F801E3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AAEB81"/>
  <w15:docId w15:val="{491DEF03-D437-47B0-83BB-1089FFE8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Hıdır ÖZERDEM</cp:lastModifiedBy>
  <cp:revision>26</cp:revision>
  <cp:lastPrinted>2021-07-30T06:33:00Z</cp:lastPrinted>
  <dcterms:created xsi:type="dcterms:W3CDTF">2021-06-08T09:14:00Z</dcterms:created>
  <dcterms:modified xsi:type="dcterms:W3CDTF">2022-05-24T16:45:00Z</dcterms:modified>
</cp:coreProperties>
</file>