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7660"/>
      </w:tblGrid>
      <w:tr w:rsidR="00D202EC" w:rsidRPr="00C13EC4" w14:paraId="5B7B6461" w14:textId="77777777" w:rsidTr="00D202EC">
        <w:trPr>
          <w:trHeight w:val="698"/>
          <w:jc w:val="center"/>
        </w:trPr>
        <w:tc>
          <w:tcPr>
            <w:tcW w:w="2268" w:type="dxa"/>
            <w:vAlign w:val="center"/>
          </w:tcPr>
          <w:p w14:paraId="512E4BE5" w14:textId="77777777" w:rsidR="00D202EC" w:rsidRPr="00C13EC4" w:rsidRDefault="00D202EC" w:rsidP="00C13EC4">
            <w:pPr>
              <w:spacing w:line="276" w:lineRule="auto"/>
              <w:rPr>
                <w:b/>
              </w:rPr>
            </w:pPr>
            <w:r w:rsidRPr="00C13EC4">
              <w:rPr>
                <w:b/>
              </w:rPr>
              <w:t>GÖREVİ</w:t>
            </w:r>
          </w:p>
        </w:tc>
        <w:tc>
          <w:tcPr>
            <w:tcW w:w="8222" w:type="dxa"/>
            <w:vAlign w:val="center"/>
          </w:tcPr>
          <w:p w14:paraId="78226B4D" w14:textId="77777777" w:rsidR="00D202EC" w:rsidRPr="00C13EC4" w:rsidRDefault="00D202EC" w:rsidP="00C13EC4">
            <w:pPr>
              <w:spacing w:line="276" w:lineRule="auto"/>
              <w:ind w:right="176"/>
              <w:jc w:val="both"/>
              <w:rPr>
                <w:b/>
              </w:rPr>
            </w:pPr>
            <w:r w:rsidRPr="00C13EC4">
              <w:rPr>
                <w:b/>
              </w:rPr>
              <w:t>OKUL MÜDÜRÜ/İŞ VEREN/KYS YÖNETİCİSİ</w:t>
            </w:r>
          </w:p>
        </w:tc>
      </w:tr>
      <w:tr w:rsidR="00D202EC" w:rsidRPr="00C13EC4" w14:paraId="469CC006" w14:textId="77777777" w:rsidTr="00D202EC">
        <w:trPr>
          <w:trHeight w:val="438"/>
          <w:jc w:val="center"/>
        </w:trPr>
        <w:tc>
          <w:tcPr>
            <w:tcW w:w="2268" w:type="dxa"/>
            <w:vAlign w:val="center"/>
          </w:tcPr>
          <w:p w14:paraId="27C6BD60" w14:textId="77777777" w:rsidR="00D202EC" w:rsidRPr="00C13EC4" w:rsidRDefault="00D202EC" w:rsidP="00C13EC4">
            <w:pPr>
              <w:spacing w:line="276" w:lineRule="auto"/>
              <w:rPr>
                <w:b/>
              </w:rPr>
            </w:pPr>
            <w:r w:rsidRPr="00C13EC4">
              <w:rPr>
                <w:b/>
              </w:rPr>
              <w:t xml:space="preserve">GÖREVLENDİRİLDİĞİ </w:t>
            </w:r>
          </w:p>
          <w:p w14:paraId="0E5BC114" w14:textId="77777777" w:rsidR="00D202EC" w:rsidRPr="00C13EC4" w:rsidRDefault="00D202EC" w:rsidP="00C13EC4">
            <w:pPr>
              <w:spacing w:line="276" w:lineRule="auto"/>
              <w:rPr>
                <w:b/>
              </w:rPr>
            </w:pPr>
            <w:r w:rsidRPr="00C13EC4">
              <w:rPr>
                <w:b/>
              </w:rPr>
              <w:t>SÜREÇ</w:t>
            </w:r>
          </w:p>
        </w:tc>
        <w:tc>
          <w:tcPr>
            <w:tcW w:w="8222" w:type="dxa"/>
            <w:vAlign w:val="center"/>
          </w:tcPr>
          <w:p w14:paraId="710ACE64" w14:textId="77777777" w:rsidR="00D202EC" w:rsidRPr="00C13EC4" w:rsidRDefault="00D202EC" w:rsidP="00C13EC4">
            <w:pPr>
              <w:spacing w:line="276" w:lineRule="auto"/>
              <w:ind w:right="176"/>
              <w:jc w:val="both"/>
            </w:pPr>
            <w:proofErr w:type="spellStart"/>
            <w:r w:rsidRPr="00C13EC4">
              <w:t>KaliteKalite</w:t>
            </w:r>
            <w:proofErr w:type="spellEnd"/>
            <w:r w:rsidRPr="00C13EC4">
              <w:t xml:space="preserve"> Yönetim Sistemine Ait Tüm Süreçler</w:t>
            </w:r>
          </w:p>
        </w:tc>
      </w:tr>
      <w:tr w:rsidR="00D202EC" w:rsidRPr="00C13EC4" w14:paraId="732E362C" w14:textId="77777777" w:rsidTr="00D202EC">
        <w:trPr>
          <w:trHeight w:val="718"/>
          <w:jc w:val="center"/>
        </w:trPr>
        <w:tc>
          <w:tcPr>
            <w:tcW w:w="2268" w:type="dxa"/>
            <w:vAlign w:val="center"/>
          </w:tcPr>
          <w:p w14:paraId="067F7D07" w14:textId="77777777" w:rsidR="00D202EC" w:rsidRPr="00C13EC4" w:rsidRDefault="00D202EC" w:rsidP="00C13EC4">
            <w:pPr>
              <w:spacing w:line="276" w:lineRule="auto"/>
              <w:rPr>
                <w:b/>
              </w:rPr>
            </w:pPr>
            <w:r w:rsidRPr="00C13EC4">
              <w:rPr>
                <w:b/>
              </w:rPr>
              <w:t>ÜST ORGAN</w:t>
            </w:r>
          </w:p>
        </w:tc>
        <w:tc>
          <w:tcPr>
            <w:tcW w:w="8222" w:type="dxa"/>
            <w:vAlign w:val="center"/>
          </w:tcPr>
          <w:p w14:paraId="63EC16A9" w14:textId="77777777" w:rsidR="00D202EC" w:rsidRPr="00C13EC4" w:rsidRDefault="00D202EC" w:rsidP="00C13EC4">
            <w:pPr>
              <w:spacing w:line="276" w:lineRule="auto"/>
              <w:ind w:right="176"/>
              <w:jc w:val="both"/>
            </w:pPr>
            <w:r w:rsidRPr="00C13EC4">
              <w:t>İlçe Milli Eğitim Müdürü</w:t>
            </w:r>
          </w:p>
        </w:tc>
      </w:tr>
      <w:tr w:rsidR="00D202EC" w:rsidRPr="00C13EC4" w14:paraId="7BD4B15F" w14:textId="77777777" w:rsidTr="00D202EC">
        <w:trPr>
          <w:trHeight w:val="1232"/>
          <w:jc w:val="center"/>
        </w:trPr>
        <w:tc>
          <w:tcPr>
            <w:tcW w:w="2268" w:type="dxa"/>
            <w:vAlign w:val="center"/>
          </w:tcPr>
          <w:p w14:paraId="4EE11B96" w14:textId="77777777" w:rsidR="00D202EC" w:rsidRPr="00C13EC4" w:rsidRDefault="00D202EC" w:rsidP="00C13EC4">
            <w:pPr>
              <w:spacing w:line="276" w:lineRule="auto"/>
              <w:rPr>
                <w:b/>
              </w:rPr>
            </w:pPr>
            <w:r w:rsidRPr="00C13EC4">
              <w:rPr>
                <w:b/>
              </w:rPr>
              <w:t>YETKİNLİK</w:t>
            </w:r>
          </w:p>
        </w:tc>
        <w:tc>
          <w:tcPr>
            <w:tcW w:w="8222" w:type="dxa"/>
            <w:vAlign w:val="center"/>
          </w:tcPr>
          <w:p w14:paraId="2CEC2F06" w14:textId="77777777" w:rsidR="00D202EC" w:rsidRPr="00C13EC4" w:rsidRDefault="00D202EC" w:rsidP="00C13EC4">
            <w:pPr>
              <w:spacing w:line="276" w:lineRule="auto"/>
              <w:ind w:right="176"/>
              <w:jc w:val="both"/>
            </w:pPr>
            <w:r w:rsidRPr="00C13EC4">
              <w:t xml:space="preserve">Okul Müdürü olarak atanabilmek için gerekli olan yetkinlik kriterleri ve diğer şartlar; 28.02.2013 tarih ve 28573 sayılı Resmî Gazete ’de yayınlanan </w:t>
            </w:r>
            <w:proofErr w:type="gramStart"/>
            <w:r w:rsidRPr="00C13EC4">
              <w:rPr>
                <w:b/>
              </w:rPr>
              <w:t>Milli</w:t>
            </w:r>
            <w:proofErr w:type="gramEnd"/>
            <w:r w:rsidRPr="00C13EC4">
              <w:rPr>
                <w:b/>
              </w:rPr>
              <w:t xml:space="preserve"> Eğitim Bakanlığı Eğitim Kurumları Yöneticileri Atama ve Yer Değiştirme Yönetmeliği</w:t>
            </w:r>
            <w:r w:rsidRPr="00C13EC4">
              <w:t xml:space="preserve">’nde ayrıntılı olarak açıklanmıştır. </w:t>
            </w:r>
          </w:p>
        </w:tc>
      </w:tr>
      <w:tr w:rsidR="00D202EC" w:rsidRPr="00C13EC4" w14:paraId="7BF7FE70" w14:textId="77777777" w:rsidTr="00D202EC">
        <w:trPr>
          <w:trHeight w:val="198"/>
          <w:jc w:val="center"/>
        </w:trPr>
        <w:tc>
          <w:tcPr>
            <w:tcW w:w="2268" w:type="dxa"/>
          </w:tcPr>
          <w:p w14:paraId="29A5928F" w14:textId="77777777" w:rsidR="00D202EC" w:rsidRPr="00C13EC4" w:rsidRDefault="00D202EC" w:rsidP="00C13EC4">
            <w:pPr>
              <w:tabs>
                <w:tab w:val="left" w:pos="33"/>
              </w:tabs>
              <w:spacing w:line="276" w:lineRule="auto"/>
              <w:ind w:right="113"/>
              <w:rPr>
                <w:b/>
              </w:rPr>
            </w:pPr>
            <w:r w:rsidRPr="00C13EC4">
              <w:rPr>
                <w:b/>
              </w:rPr>
              <w:t>KALİTE</w:t>
            </w:r>
          </w:p>
          <w:p w14:paraId="4FF433F7" w14:textId="77777777" w:rsidR="00D202EC" w:rsidRPr="00C13EC4" w:rsidRDefault="00D202EC" w:rsidP="00C13EC4">
            <w:pPr>
              <w:tabs>
                <w:tab w:val="left" w:pos="33"/>
              </w:tabs>
              <w:spacing w:line="276" w:lineRule="auto"/>
              <w:ind w:right="113"/>
              <w:rPr>
                <w:b/>
              </w:rPr>
            </w:pPr>
            <w:r w:rsidRPr="00C13EC4">
              <w:rPr>
                <w:b/>
              </w:rPr>
              <w:t xml:space="preserve">YÖNETİM </w:t>
            </w:r>
          </w:p>
          <w:p w14:paraId="667A7786" w14:textId="77777777" w:rsidR="00D202EC" w:rsidRPr="00C13EC4" w:rsidRDefault="00D202EC" w:rsidP="00C13EC4">
            <w:pPr>
              <w:tabs>
                <w:tab w:val="left" w:pos="33"/>
              </w:tabs>
              <w:spacing w:line="276" w:lineRule="auto"/>
              <w:ind w:right="113"/>
              <w:rPr>
                <w:b/>
              </w:rPr>
            </w:pPr>
            <w:r w:rsidRPr="00C13EC4">
              <w:rPr>
                <w:b/>
              </w:rPr>
              <w:t>SİSTEMİNDEKİ</w:t>
            </w:r>
          </w:p>
          <w:p w14:paraId="034845FF" w14:textId="77777777" w:rsidR="00D202EC" w:rsidRPr="00C13EC4" w:rsidRDefault="00D202EC" w:rsidP="00C13EC4">
            <w:pPr>
              <w:spacing w:line="276" w:lineRule="auto"/>
              <w:ind w:right="113"/>
              <w:rPr>
                <w:b/>
              </w:rPr>
            </w:pPr>
            <w:r w:rsidRPr="00C13EC4">
              <w:rPr>
                <w:b/>
              </w:rPr>
              <w:t>GÖREV YETKİ VE</w:t>
            </w:r>
          </w:p>
          <w:p w14:paraId="06B1F3D9" w14:textId="77777777" w:rsidR="00D202EC" w:rsidRPr="00C13EC4" w:rsidRDefault="00D202EC" w:rsidP="00C13EC4">
            <w:pPr>
              <w:spacing w:line="276" w:lineRule="auto"/>
              <w:rPr>
                <w:b/>
              </w:rPr>
            </w:pPr>
            <w:r w:rsidRPr="00C13EC4">
              <w:rPr>
                <w:b/>
              </w:rPr>
              <w:t>SORUMLULUKLARI</w:t>
            </w:r>
          </w:p>
        </w:tc>
        <w:tc>
          <w:tcPr>
            <w:tcW w:w="8222" w:type="dxa"/>
          </w:tcPr>
          <w:p w14:paraId="73E485C0" w14:textId="77777777" w:rsidR="00D202EC" w:rsidRPr="00C13EC4" w:rsidRDefault="00D202EC" w:rsidP="00C13EC4">
            <w:pPr>
              <w:numPr>
                <w:ilvl w:val="0"/>
                <w:numId w:val="20"/>
              </w:numPr>
              <w:tabs>
                <w:tab w:val="left" w:pos="0"/>
              </w:tabs>
              <w:spacing w:line="276" w:lineRule="auto"/>
              <w:ind w:left="313" w:right="176" w:hanging="142"/>
              <w:jc w:val="both"/>
            </w:pPr>
            <w:r w:rsidRPr="00C13EC4">
              <w:t xml:space="preserve">Kuruluşta oluşturulan Kalite Yönetim Sisteminin uygulanmasını sağlamaktan, ilgili prosedürlerde, TS EN ISO 9001:2015 Kalite Yönetim Sistemi, yasal mevzuat çerçevesinde belirtilen sorumlulukları yerine getirmekten sorumludur. </w:t>
            </w:r>
          </w:p>
          <w:p w14:paraId="20EC173F" w14:textId="77777777" w:rsidR="00D202EC" w:rsidRPr="00C13EC4" w:rsidRDefault="00D202EC" w:rsidP="00C13EC4">
            <w:pPr>
              <w:numPr>
                <w:ilvl w:val="0"/>
                <w:numId w:val="20"/>
              </w:numPr>
              <w:tabs>
                <w:tab w:val="left" w:pos="0"/>
              </w:tabs>
              <w:spacing w:line="276" w:lineRule="auto"/>
              <w:ind w:left="313" w:right="176" w:hanging="142"/>
              <w:jc w:val="both"/>
            </w:pPr>
            <w:proofErr w:type="spellStart"/>
            <w:r w:rsidRPr="00C13EC4">
              <w:t>Kuruluştauygun</w:t>
            </w:r>
            <w:proofErr w:type="spellEnd"/>
            <w:r w:rsidRPr="00C13EC4">
              <w:t xml:space="preserve"> KYS Politikası ve KYS Hedeflerinin belirlenmesi, takibi ve güncellenmesinden sorumludur.</w:t>
            </w:r>
          </w:p>
          <w:p w14:paraId="1C4483DC" w14:textId="77777777" w:rsidR="00D202EC" w:rsidRPr="00C13EC4" w:rsidRDefault="00D202EC" w:rsidP="00C13EC4">
            <w:pPr>
              <w:numPr>
                <w:ilvl w:val="0"/>
                <w:numId w:val="20"/>
              </w:numPr>
              <w:tabs>
                <w:tab w:val="left" w:pos="0"/>
              </w:tabs>
              <w:spacing w:line="276" w:lineRule="auto"/>
              <w:ind w:left="313" w:right="176" w:hanging="142"/>
              <w:jc w:val="both"/>
            </w:pPr>
            <w:r w:rsidRPr="00C13EC4">
              <w:t>Okuldaki tüm faaliyetlerin, ilgili kanun ve yönetmelikler kapsamında KYS standartlarına uygun olarak yürütülmesini sağlamak ve denetimleri yapmaktan/yapılmasından sorumludur.</w:t>
            </w:r>
          </w:p>
          <w:p w14:paraId="0B835CB3" w14:textId="77777777" w:rsidR="00D202EC" w:rsidRPr="00C13EC4" w:rsidRDefault="00D202EC" w:rsidP="00C13EC4">
            <w:pPr>
              <w:numPr>
                <w:ilvl w:val="0"/>
                <w:numId w:val="20"/>
              </w:numPr>
              <w:tabs>
                <w:tab w:val="left" w:pos="0"/>
              </w:tabs>
              <w:spacing w:line="276" w:lineRule="auto"/>
              <w:ind w:left="313" w:right="176" w:hanging="142"/>
              <w:jc w:val="both"/>
            </w:pPr>
            <w:r w:rsidRPr="00C13EC4">
              <w:t>KYS kapsamında hazırlanan tüm dokümanların incelenmesi, onaylanması ve uygulamaya konulmasından sorumludur.</w:t>
            </w:r>
          </w:p>
          <w:p w14:paraId="49880755" w14:textId="77777777" w:rsidR="00D202EC" w:rsidRPr="00C13EC4" w:rsidRDefault="00D202EC" w:rsidP="00C13EC4">
            <w:pPr>
              <w:numPr>
                <w:ilvl w:val="0"/>
                <w:numId w:val="20"/>
              </w:numPr>
              <w:tabs>
                <w:tab w:val="left" w:pos="0"/>
              </w:tabs>
              <w:spacing w:line="276" w:lineRule="auto"/>
              <w:ind w:left="313" w:right="176" w:hanging="142"/>
              <w:jc w:val="both"/>
            </w:pPr>
            <w:r w:rsidRPr="00C13EC4">
              <w:t>Kuruluşta oluşturulan her türlü doküman ve kayıtların, KYS şartlarına uygun olarak saklanması, korunması, ulaşılabilmesi, elde tutulması, elden çıkarılması ve arşivlenmesi işlemlerinin yürütülmesini sağlamaktan ve kontrolünden sorumludur.</w:t>
            </w:r>
          </w:p>
          <w:p w14:paraId="028E2C96" w14:textId="77777777" w:rsidR="00D202EC" w:rsidRPr="00C13EC4" w:rsidRDefault="00D202EC" w:rsidP="00C13EC4">
            <w:pPr>
              <w:numPr>
                <w:ilvl w:val="0"/>
                <w:numId w:val="20"/>
              </w:numPr>
              <w:tabs>
                <w:tab w:val="left" w:pos="0"/>
              </w:tabs>
              <w:spacing w:line="276" w:lineRule="auto"/>
              <w:ind w:left="313" w:right="176" w:hanging="142"/>
              <w:jc w:val="both"/>
            </w:pPr>
            <w:r w:rsidRPr="00C13EC4">
              <w:t xml:space="preserve">İl-İlçe Milli Eğitim Müdürlükleri, </w:t>
            </w:r>
            <w:proofErr w:type="gramStart"/>
            <w:r w:rsidRPr="00C13EC4">
              <w:t>Milli</w:t>
            </w:r>
            <w:proofErr w:type="gramEnd"/>
            <w:r w:rsidRPr="00C13EC4">
              <w:t xml:space="preserve"> Eğitim Bakanlığı ve diğer okul dışı kurum ve kuruluşlardan gelen yazı ve duyuruların ilgili kişi/birimlere aktarılmasından ve geri bildiriminden, Kuruluş bünyesinde etkili ve verimli bir iç/dış iletişim sağlanması için oluşturulan iletişim </w:t>
            </w:r>
            <w:r w:rsidR="004E7829">
              <w:t xml:space="preserve">prosedürü </w:t>
            </w:r>
            <w:r w:rsidRPr="00C13EC4">
              <w:t>uygulanmasını sağlamaktan sorumludur.</w:t>
            </w:r>
          </w:p>
          <w:p w14:paraId="23512EC4" w14:textId="77777777" w:rsidR="00D202EC" w:rsidRPr="00C13EC4" w:rsidRDefault="00D202EC" w:rsidP="00C13EC4">
            <w:pPr>
              <w:numPr>
                <w:ilvl w:val="0"/>
                <w:numId w:val="20"/>
              </w:numPr>
              <w:tabs>
                <w:tab w:val="left" w:pos="0"/>
              </w:tabs>
              <w:spacing w:line="276" w:lineRule="auto"/>
              <w:ind w:left="313" w:right="176" w:hanging="142"/>
              <w:jc w:val="both"/>
            </w:pPr>
            <w:r w:rsidRPr="00C13EC4">
              <w:t>Kuruluşta oluşturulan Kalite Yönetim Sistemine ait süreçlerin uygulanmasını sağlamaktan, süreçlerin süreç planına uygun olarak gerçekleştirilmesini denetler.</w:t>
            </w:r>
          </w:p>
          <w:p w14:paraId="7C7BD87D" w14:textId="77777777" w:rsidR="00D202EC" w:rsidRPr="00C13EC4" w:rsidRDefault="00D202EC" w:rsidP="00C13EC4">
            <w:pPr>
              <w:numPr>
                <w:ilvl w:val="0"/>
                <w:numId w:val="20"/>
              </w:numPr>
              <w:tabs>
                <w:tab w:val="left" w:pos="0"/>
              </w:tabs>
              <w:spacing w:line="276" w:lineRule="auto"/>
              <w:ind w:left="313" w:right="176" w:hanging="142"/>
              <w:jc w:val="both"/>
            </w:pPr>
            <w:r w:rsidRPr="00C13EC4">
              <w:t>Kuruluşta ihtiyaç olan her türlü mal ve hizmetin temininden, satın almayla, ilgili kurul ve ekiplerin kurulmasından ve satın alma işlemlerinin denetiminden sorumludur.</w:t>
            </w:r>
          </w:p>
          <w:p w14:paraId="362D2899" w14:textId="77777777" w:rsidR="00D202EC" w:rsidRPr="00C13EC4" w:rsidRDefault="00D202EC" w:rsidP="00C13EC4">
            <w:pPr>
              <w:numPr>
                <w:ilvl w:val="0"/>
                <w:numId w:val="20"/>
              </w:numPr>
              <w:tabs>
                <w:tab w:val="left" w:pos="0"/>
              </w:tabs>
              <w:spacing w:line="276" w:lineRule="auto"/>
              <w:ind w:left="313" w:right="176" w:hanging="142"/>
              <w:jc w:val="both"/>
            </w:pPr>
            <w:r w:rsidRPr="00C13EC4">
              <w:t>Bakım onarım faaliyetler için kaynak sağlama ve bakım onarım faaliyetlerinin denetlenmesinden sorumludur.</w:t>
            </w:r>
          </w:p>
          <w:p w14:paraId="7D7B52B7" w14:textId="77777777" w:rsidR="00D202EC" w:rsidRPr="00C13EC4" w:rsidRDefault="00D202EC" w:rsidP="00C13EC4">
            <w:pPr>
              <w:numPr>
                <w:ilvl w:val="0"/>
                <w:numId w:val="20"/>
              </w:numPr>
              <w:tabs>
                <w:tab w:val="left" w:pos="0"/>
              </w:tabs>
              <w:spacing w:line="276" w:lineRule="auto"/>
              <w:ind w:left="313" w:right="176" w:hanging="142"/>
              <w:jc w:val="both"/>
            </w:pPr>
            <w:r w:rsidRPr="00C13EC4">
              <w:t xml:space="preserve">Proseslerin gereklerinin etkin ve verimli bir şekilde gerçekleşmesinden </w:t>
            </w:r>
            <w:r w:rsidRPr="00C13EC4">
              <w:lastRenderedPageBreak/>
              <w:t>sorumludur.</w:t>
            </w:r>
          </w:p>
          <w:p w14:paraId="7F212E36" w14:textId="77777777" w:rsidR="00D202EC" w:rsidRPr="00C13EC4" w:rsidRDefault="00D202EC" w:rsidP="00C13EC4">
            <w:pPr>
              <w:numPr>
                <w:ilvl w:val="0"/>
                <w:numId w:val="20"/>
              </w:numPr>
              <w:tabs>
                <w:tab w:val="left" w:pos="0"/>
              </w:tabs>
              <w:spacing w:line="276" w:lineRule="auto"/>
              <w:ind w:left="313" w:right="176" w:hanging="142"/>
              <w:jc w:val="both"/>
            </w:pPr>
            <w:r w:rsidRPr="00C13EC4">
              <w:t>Sosyal etkinlik ve kulüp çalışmalarının prosedüre uygun olarak gerçekleştirilmesinden ve denetiminden sorumludur.</w:t>
            </w:r>
          </w:p>
          <w:p w14:paraId="36F6D803" w14:textId="77777777" w:rsidR="00D202EC" w:rsidRPr="00C13EC4" w:rsidRDefault="00D202EC" w:rsidP="00C13EC4">
            <w:pPr>
              <w:numPr>
                <w:ilvl w:val="0"/>
                <w:numId w:val="20"/>
              </w:numPr>
              <w:tabs>
                <w:tab w:val="left" w:pos="0"/>
              </w:tabs>
              <w:spacing w:line="276" w:lineRule="auto"/>
              <w:ind w:left="313" w:right="176" w:hanging="142"/>
              <w:jc w:val="both"/>
            </w:pPr>
            <w:r w:rsidRPr="00C13EC4">
              <w:t>Ölçme, analiz ve iyileştirme çalışmalarının denetiminden sorumludur.</w:t>
            </w:r>
          </w:p>
          <w:p w14:paraId="36C9B173" w14:textId="77777777" w:rsidR="00D202EC" w:rsidRPr="00C13EC4" w:rsidRDefault="00D202EC" w:rsidP="00C13EC4">
            <w:pPr>
              <w:numPr>
                <w:ilvl w:val="0"/>
                <w:numId w:val="20"/>
              </w:numPr>
              <w:tabs>
                <w:tab w:val="left" w:pos="0"/>
              </w:tabs>
              <w:spacing w:line="276" w:lineRule="auto"/>
              <w:ind w:left="313" w:right="176" w:hanging="142"/>
              <w:jc w:val="both"/>
            </w:pPr>
            <w:r w:rsidRPr="00C13EC4">
              <w:t>Hizmet alan memnuniyetinin sağlanmasından, hizmet odaklı yaklaşımları teşvik etmekten, memnuniyet anketlerinin yapılmasından ve denetiminden sorumludur.</w:t>
            </w:r>
          </w:p>
          <w:p w14:paraId="72A951C1" w14:textId="77777777" w:rsidR="00D202EC" w:rsidRPr="00C13EC4" w:rsidRDefault="00D202EC" w:rsidP="00C13EC4">
            <w:pPr>
              <w:numPr>
                <w:ilvl w:val="0"/>
                <w:numId w:val="20"/>
              </w:numPr>
              <w:tabs>
                <w:tab w:val="left" w:pos="0"/>
              </w:tabs>
              <w:spacing w:line="276" w:lineRule="auto"/>
              <w:ind w:left="313" w:right="176" w:hanging="142"/>
              <w:jc w:val="both"/>
            </w:pPr>
            <w:r w:rsidRPr="00C13EC4">
              <w:t xml:space="preserve">YGG Toplantılarının </w:t>
            </w:r>
            <w:proofErr w:type="spellStart"/>
            <w:r w:rsidRPr="00C13EC4">
              <w:t>prosestekiesaslara</w:t>
            </w:r>
            <w:proofErr w:type="spellEnd"/>
            <w:r w:rsidRPr="00C13EC4">
              <w:t xml:space="preserve"> göre yapılmasından sorumludur. </w:t>
            </w:r>
          </w:p>
          <w:p w14:paraId="64B2562B" w14:textId="77777777" w:rsidR="00D202EC" w:rsidRPr="00C13EC4" w:rsidRDefault="00D202EC" w:rsidP="00C13EC4">
            <w:pPr>
              <w:numPr>
                <w:ilvl w:val="0"/>
                <w:numId w:val="20"/>
              </w:numPr>
              <w:tabs>
                <w:tab w:val="left" w:pos="0"/>
              </w:tabs>
              <w:spacing w:line="276" w:lineRule="auto"/>
              <w:ind w:left="313" w:right="176" w:hanging="142"/>
              <w:jc w:val="both"/>
            </w:pPr>
            <w:r w:rsidRPr="00C13EC4">
              <w:t>Kuruluşta yürütülen Kalite Yönetim Sistemi kapsamındaki tüm birim ve süreçlerde uygulanacak iç tetkiklerin yaptırılmasından sorumludur.</w:t>
            </w:r>
          </w:p>
          <w:p w14:paraId="28A08F9B" w14:textId="77777777" w:rsidR="00D202EC" w:rsidRPr="00C13EC4" w:rsidRDefault="00D202EC" w:rsidP="00C13EC4">
            <w:pPr>
              <w:numPr>
                <w:ilvl w:val="0"/>
                <w:numId w:val="20"/>
              </w:numPr>
              <w:tabs>
                <w:tab w:val="left" w:pos="0"/>
              </w:tabs>
              <w:spacing w:line="276" w:lineRule="auto"/>
              <w:ind w:left="313" w:right="176" w:hanging="142"/>
              <w:jc w:val="both"/>
            </w:pPr>
            <w:r w:rsidRPr="00C13EC4">
              <w:t>Risk ve fırsat belirleme çalışmaları için yapılan planlama, uygulama, ölçme ve değerlendirme, kontrol ve izleme çalışmalarını denetler. KYS Standart şartları gereği risk ve fırsat analizlerinin yaptırılmasından, risk ve fırsat önlemlerinin uygulanmasından, kaynakların sağlanmasından, değerlendirme ve iyileştirme çalışmalarından sorumludur.</w:t>
            </w:r>
          </w:p>
          <w:p w14:paraId="32B1FAEF" w14:textId="77777777" w:rsidR="00D202EC" w:rsidRPr="00C13EC4" w:rsidRDefault="00D202EC" w:rsidP="00C13EC4">
            <w:pPr>
              <w:numPr>
                <w:ilvl w:val="0"/>
                <w:numId w:val="20"/>
              </w:numPr>
              <w:tabs>
                <w:tab w:val="left" w:pos="0"/>
              </w:tabs>
              <w:spacing w:line="276" w:lineRule="auto"/>
              <w:ind w:left="313" w:right="176" w:hanging="142"/>
              <w:jc w:val="both"/>
            </w:pPr>
            <w:r w:rsidRPr="00C13EC4">
              <w:t>Prosedür kapsamındaki faaliyetlerin etkinliğini değerlendirmek ve denetiminden sorumludur.</w:t>
            </w:r>
          </w:p>
          <w:p w14:paraId="70F4838E" w14:textId="77777777" w:rsidR="00D202EC" w:rsidRPr="00C13EC4" w:rsidRDefault="00D202EC" w:rsidP="00C13EC4">
            <w:pPr>
              <w:numPr>
                <w:ilvl w:val="0"/>
                <w:numId w:val="20"/>
              </w:numPr>
              <w:tabs>
                <w:tab w:val="left" w:pos="0"/>
              </w:tabs>
              <w:spacing w:line="276" w:lineRule="auto"/>
              <w:ind w:left="313" w:right="176" w:hanging="142"/>
              <w:jc w:val="both"/>
            </w:pPr>
            <w:proofErr w:type="spellStart"/>
            <w:r w:rsidRPr="00C13EC4">
              <w:t>Kuruluştayürütülen</w:t>
            </w:r>
            <w:proofErr w:type="spellEnd"/>
            <w:r w:rsidRPr="00C13EC4">
              <w:t xml:space="preserve"> Kalite Yönetim Sistemi kapsamındaki tüm birim ve süreçlerde uygunsuzlukların tespit edilmesi, düzeltici faaliyetler ve sürekli iyileştirme faaliyetlerinin etkinliğini değerlendirmekten ve denetiminden sorumludur.</w:t>
            </w:r>
          </w:p>
          <w:p w14:paraId="6F67CB87" w14:textId="77777777" w:rsidR="00D202EC" w:rsidRPr="00C13EC4" w:rsidRDefault="00D202EC" w:rsidP="00C13EC4">
            <w:pPr>
              <w:tabs>
                <w:tab w:val="left" w:pos="0"/>
              </w:tabs>
              <w:spacing w:line="276" w:lineRule="auto"/>
              <w:ind w:left="171" w:right="176"/>
              <w:jc w:val="both"/>
            </w:pPr>
          </w:p>
        </w:tc>
      </w:tr>
    </w:tbl>
    <w:p w14:paraId="73E90D63" w14:textId="77777777" w:rsidR="00703CF8" w:rsidRPr="00C13EC4" w:rsidRDefault="00703CF8" w:rsidP="00C13EC4">
      <w:pPr>
        <w:spacing w:line="276" w:lineRule="auto"/>
        <w:rPr>
          <w:b/>
        </w:rPr>
      </w:pPr>
    </w:p>
    <w:sectPr w:rsidR="00703CF8" w:rsidRPr="00C13EC4" w:rsidSect="00751464">
      <w:headerReference w:type="even" r:id="rId7"/>
      <w:headerReference w:type="default" r:id="rId8"/>
      <w:footerReference w:type="default" r:id="rId9"/>
      <w:pgSz w:w="11906" w:h="16838" w:code="9"/>
      <w:pgMar w:top="1417" w:right="1417" w:bottom="1417" w:left="1417" w:header="454"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F2F3" w14:textId="77777777" w:rsidR="003A357A" w:rsidRDefault="003A357A" w:rsidP="004A3541">
      <w:r>
        <w:separator/>
      </w:r>
    </w:p>
  </w:endnote>
  <w:endnote w:type="continuationSeparator" w:id="0">
    <w:p w14:paraId="67C7E54B" w14:textId="77777777" w:rsidR="003A357A" w:rsidRDefault="003A357A" w:rsidP="004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697"/>
      <w:gridCol w:w="3408"/>
    </w:tblGrid>
    <w:tr w:rsidR="005A626A" w:rsidRPr="000F754F" w14:paraId="35CAF4D5" w14:textId="77777777" w:rsidTr="00D86D68">
      <w:trPr>
        <w:trHeight w:val="848"/>
        <w:jc w:val="center"/>
      </w:trPr>
      <w:tc>
        <w:tcPr>
          <w:tcW w:w="3380" w:type="dxa"/>
          <w:shd w:val="clear" w:color="auto" w:fill="auto"/>
          <w:vAlign w:val="center"/>
        </w:tcPr>
        <w:p w14:paraId="5610522B"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14:paraId="4B2D312F"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14:paraId="1FC4B1B1"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Ekibi</w:t>
          </w:r>
        </w:p>
      </w:tc>
      <w:tc>
        <w:tcPr>
          <w:tcW w:w="3697" w:type="dxa"/>
          <w:shd w:val="clear" w:color="auto" w:fill="auto"/>
          <w:vAlign w:val="center"/>
        </w:tcPr>
        <w:p w14:paraId="57E19011"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14:paraId="0360C1EF"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14:paraId="31FC9490"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Temsilcisi</w:t>
          </w:r>
        </w:p>
      </w:tc>
      <w:tc>
        <w:tcPr>
          <w:tcW w:w="3408" w:type="dxa"/>
          <w:shd w:val="clear" w:color="auto" w:fill="auto"/>
          <w:vAlign w:val="center"/>
        </w:tcPr>
        <w:p w14:paraId="41DC2EA1"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14:paraId="36F5B9EB"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14:paraId="0BEA47A3" w14:textId="77777777" w:rsidR="005A626A" w:rsidRPr="003A3887"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K</w:t>
          </w:r>
          <w:r w:rsidR="00615F94" w:rsidRPr="003A3887">
            <w:rPr>
              <w:rFonts w:ascii="Calibri" w:hAnsi="Calibri" w:cs="Calibri"/>
              <w:color w:val="000000" w:themeColor="text1"/>
              <w:sz w:val="22"/>
              <w:szCs w:val="22"/>
            </w:rPr>
            <w:t>YS Yönetici</w:t>
          </w:r>
          <w:r w:rsidR="00D86D68">
            <w:rPr>
              <w:rFonts w:ascii="Calibri" w:hAnsi="Calibri" w:cs="Calibri"/>
              <w:color w:val="000000" w:themeColor="text1"/>
              <w:sz w:val="22"/>
              <w:szCs w:val="22"/>
            </w:rPr>
            <w:t>si</w:t>
          </w:r>
        </w:p>
      </w:tc>
    </w:tr>
  </w:tbl>
  <w:p w14:paraId="461F6732" w14:textId="77777777" w:rsidR="00F65912" w:rsidRPr="00565DB5" w:rsidRDefault="00F65912">
    <w:pPr>
      <w:pStyle w:val="AltBilgi"/>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1054" w14:textId="77777777" w:rsidR="003A357A" w:rsidRDefault="003A357A" w:rsidP="004A3541">
      <w:r>
        <w:separator/>
      </w:r>
    </w:p>
  </w:footnote>
  <w:footnote w:type="continuationSeparator" w:id="0">
    <w:p w14:paraId="73D877A1" w14:textId="77777777" w:rsidR="003A357A" w:rsidRDefault="003A357A" w:rsidP="004A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52F5" w14:textId="77777777" w:rsidR="00A017E4" w:rsidRDefault="006E4E0C" w:rsidP="00A017E4">
    <w:pPr>
      <w:pStyle w:val="stBilgi"/>
      <w:framePr w:wrap="around" w:vAnchor="text" w:hAnchor="margin" w:xAlign="right" w:y="1"/>
      <w:rPr>
        <w:rStyle w:val="SayfaNumaras"/>
      </w:rPr>
    </w:pPr>
    <w:r>
      <w:rPr>
        <w:rStyle w:val="SayfaNumaras"/>
      </w:rPr>
      <w:fldChar w:fldCharType="begin"/>
    </w:r>
    <w:r w:rsidR="00A017E4">
      <w:rPr>
        <w:rStyle w:val="SayfaNumaras"/>
      </w:rPr>
      <w:instrText xml:space="preserve">PAGE  </w:instrText>
    </w:r>
    <w:r>
      <w:rPr>
        <w:rStyle w:val="SayfaNumaras"/>
      </w:rPr>
      <w:fldChar w:fldCharType="end"/>
    </w:r>
  </w:p>
  <w:p w14:paraId="7C7F6448" w14:textId="77777777" w:rsidR="00A017E4" w:rsidRDefault="00A017E4" w:rsidP="00A017E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1560"/>
      <w:gridCol w:w="1701"/>
    </w:tblGrid>
    <w:tr w:rsidR="00205952" w:rsidRPr="00984306" w14:paraId="3480FACD" w14:textId="77777777" w:rsidTr="00D86D68">
      <w:trPr>
        <w:trHeight w:val="268"/>
        <w:jc w:val="center"/>
      </w:trPr>
      <w:tc>
        <w:tcPr>
          <w:tcW w:w="2263" w:type="dxa"/>
          <w:vMerge w:val="restart"/>
          <w:vAlign w:val="center"/>
        </w:tcPr>
        <w:p w14:paraId="61B476B0" w14:textId="77777777" w:rsidR="00205952" w:rsidRPr="00030328" w:rsidRDefault="006D46A4" w:rsidP="009A3B2A">
          <w:pPr>
            <w:pStyle w:val="stBilgi"/>
            <w:spacing w:line="276" w:lineRule="auto"/>
            <w:rPr>
              <w:rFonts w:ascii="Cambria" w:hAnsi="Cambria"/>
              <w:b/>
              <w:sz w:val="28"/>
              <w:szCs w:val="28"/>
            </w:rPr>
          </w:pPr>
          <w:r w:rsidRPr="00065A57">
            <w:rPr>
              <w:noProof/>
            </w:rPr>
            <w:drawing>
              <wp:inline distT="0" distB="0" distL="0" distR="0" wp14:anchorId="7554DA39" wp14:editId="5344B3D8">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5103" w:type="dxa"/>
          <w:vMerge w:val="restart"/>
          <w:vAlign w:val="center"/>
        </w:tcPr>
        <w:p w14:paraId="633A3B5E" w14:textId="7580DB35" w:rsidR="00205952" w:rsidRPr="00A25166" w:rsidRDefault="00D86D68" w:rsidP="00A2416C">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5B462F">
            <w:rPr>
              <w:rFonts w:asciiTheme="minorHAnsi" w:hAnsiTheme="minorHAnsi" w:cstheme="minorHAnsi"/>
              <w:b/>
            </w:rPr>
            <w:t>İ</w:t>
          </w:r>
          <w:r>
            <w:rPr>
              <w:rFonts w:asciiTheme="minorHAnsi" w:hAnsiTheme="minorHAnsi" w:cstheme="minorHAnsi"/>
              <w:b/>
            </w:rPr>
            <w:t xml:space="preserve"> MERKEZİ</w:t>
          </w:r>
        </w:p>
      </w:tc>
      <w:tc>
        <w:tcPr>
          <w:tcW w:w="1560" w:type="dxa"/>
          <w:vAlign w:val="center"/>
        </w:tcPr>
        <w:p w14:paraId="4C046189" w14:textId="77777777" w:rsidR="00205952" w:rsidRPr="00565DB5" w:rsidRDefault="00F224EC" w:rsidP="00EF354D">
          <w:pPr>
            <w:rPr>
              <w:rFonts w:ascii="Calibri" w:hAnsi="Calibri" w:cs="Calibri"/>
              <w:sz w:val="20"/>
              <w:szCs w:val="20"/>
            </w:rPr>
          </w:pPr>
          <w:r w:rsidRPr="00565DB5">
            <w:rPr>
              <w:rFonts w:ascii="Calibri" w:hAnsi="Calibri" w:cs="Calibri"/>
              <w:sz w:val="20"/>
              <w:szCs w:val="20"/>
            </w:rPr>
            <w:t>Doküman No</w:t>
          </w:r>
        </w:p>
      </w:tc>
      <w:tc>
        <w:tcPr>
          <w:tcW w:w="1701" w:type="dxa"/>
          <w:vAlign w:val="center"/>
        </w:tcPr>
        <w:p w14:paraId="5F1E9D2F" w14:textId="77777777" w:rsidR="00205952" w:rsidRPr="00565DB5" w:rsidRDefault="00D86D68" w:rsidP="00EF354D">
          <w:pPr>
            <w:rPr>
              <w:rFonts w:ascii="Calibri" w:hAnsi="Calibri" w:cs="Calibri"/>
              <w:sz w:val="20"/>
              <w:szCs w:val="20"/>
            </w:rPr>
          </w:pPr>
          <w:r>
            <w:rPr>
              <w:rFonts w:ascii="Calibri" w:hAnsi="Calibri" w:cs="Calibri"/>
              <w:sz w:val="20"/>
              <w:szCs w:val="20"/>
            </w:rPr>
            <w:t>FR.</w:t>
          </w:r>
          <w:r w:rsidR="00FD73A2">
            <w:rPr>
              <w:rFonts w:ascii="Calibri" w:hAnsi="Calibri" w:cs="Calibri"/>
              <w:sz w:val="20"/>
              <w:szCs w:val="20"/>
            </w:rPr>
            <w:t>06</w:t>
          </w:r>
        </w:p>
      </w:tc>
    </w:tr>
    <w:tr w:rsidR="00F224EC" w:rsidRPr="00984306" w14:paraId="6B31028B" w14:textId="77777777" w:rsidTr="00D86D68">
      <w:trPr>
        <w:trHeight w:val="272"/>
        <w:jc w:val="center"/>
      </w:trPr>
      <w:tc>
        <w:tcPr>
          <w:tcW w:w="2263" w:type="dxa"/>
          <w:vMerge/>
          <w:vAlign w:val="center"/>
        </w:tcPr>
        <w:p w14:paraId="5322656F" w14:textId="77777777" w:rsidR="00F224EC" w:rsidRPr="00CB52DA" w:rsidRDefault="00F224EC" w:rsidP="00F224EC">
          <w:pPr>
            <w:pStyle w:val="stBilgi"/>
            <w:spacing w:line="276" w:lineRule="auto"/>
            <w:jc w:val="center"/>
            <w:rPr>
              <w:rFonts w:ascii="Calibri" w:hAnsi="Calibri"/>
              <w:noProof/>
            </w:rPr>
          </w:pPr>
        </w:p>
      </w:tc>
      <w:tc>
        <w:tcPr>
          <w:tcW w:w="5103" w:type="dxa"/>
          <w:vMerge/>
          <w:vAlign w:val="center"/>
        </w:tcPr>
        <w:p w14:paraId="699A40CB" w14:textId="77777777" w:rsidR="00F224EC" w:rsidRPr="00A25166" w:rsidRDefault="00F224EC" w:rsidP="00F224EC">
          <w:pPr>
            <w:pStyle w:val="stBilgi"/>
            <w:spacing w:line="276" w:lineRule="auto"/>
            <w:jc w:val="center"/>
            <w:rPr>
              <w:rFonts w:asciiTheme="minorHAnsi" w:hAnsiTheme="minorHAnsi" w:cstheme="minorHAnsi"/>
              <w:b/>
            </w:rPr>
          </w:pPr>
        </w:p>
      </w:tc>
      <w:tc>
        <w:tcPr>
          <w:tcW w:w="1560" w:type="dxa"/>
          <w:vAlign w:val="center"/>
        </w:tcPr>
        <w:p w14:paraId="5DB4940B"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Yayın Tarihi</w:t>
          </w:r>
        </w:p>
      </w:tc>
      <w:tc>
        <w:tcPr>
          <w:tcW w:w="1701" w:type="dxa"/>
          <w:vAlign w:val="center"/>
        </w:tcPr>
        <w:p w14:paraId="73A06434" w14:textId="77777777" w:rsidR="00F224EC" w:rsidRPr="00565DB5" w:rsidRDefault="00F224EC" w:rsidP="00F224EC">
          <w:pPr>
            <w:rPr>
              <w:rFonts w:ascii="Calibri" w:hAnsi="Calibri" w:cs="Calibri"/>
              <w:sz w:val="20"/>
              <w:szCs w:val="20"/>
            </w:rPr>
          </w:pPr>
          <w:r>
            <w:rPr>
              <w:rFonts w:ascii="Calibri" w:hAnsi="Calibri" w:cs="Calibri"/>
              <w:sz w:val="20"/>
              <w:szCs w:val="20"/>
            </w:rPr>
            <w:t>28.04.2022</w:t>
          </w:r>
        </w:p>
      </w:tc>
    </w:tr>
    <w:tr w:rsidR="00F224EC" w:rsidRPr="00984306" w14:paraId="3757C9D0" w14:textId="77777777" w:rsidTr="00D86D68">
      <w:trPr>
        <w:trHeight w:val="290"/>
        <w:jc w:val="center"/>
      </w:trPr>
      <w:tc>
        <w:tcPr>
          <w:tcW w:w="2263" w:type="dxa"/>
          <w:vMerge/>
          <w:vAlign w:val="center"/>
        </w:tcPr>
        <w:p w14:paraId="523B7ED0" w14:textId="77777777" w:rsidR="00F224EC" w:rsidRPr="00030328" w:rsidRDefault="00F224EC" w:rsidP="00F224EC">
          <w:pPr>
            <w:pStyle w:val="stBilgi"/>
            <w:spacing w:line="276" w:lineRule="auto"/>
            <w:rPr>
              <w:rFonts w:ascii="Cambria" w:hAnsi="Cambria" w:cs="Tahoma"/>
              <w:sz w:val="20"/>
              <w:szCs w:val="20"/>
            </w:rPr>
          </w:pPr>
        </w:p>
      </w:tc>
      <w:tc>
        <w:tcPr>
          <w:tcW w:w="5103" w:type="dxa"/>
          <w:vMerge w:val="restart"/>
          <w:vAlign w:val="center"/>
        </w:tcPr>
        <w:p w14:paraId="4F7CD631" w14:textId="77777777" w:rsidR="00F224EC" w:rsidRPr="00A25166" w:rsidRDefault="006D46A4" w:rsidP="00CB3189">
          <w:pPr>
            <w:pStyle w:val="stBilgi"/>
            <w:spacing w:line="276" w:lineRule="auto"/>
            <w:jc w:val="center"/>
            <w:rPr>
              <w:rFonts w:asciiTheme="minorHAnsi" w:hAnsiTheme="minorHAnsi" w:cstheme="minorHAnsi"/>
            </w:rPr>
          </w:pPr>
          <w:r>
            <w:rPr>
              <w:rFonts w:asciiTheme="minorHAnsi" w:hAnsiTheme="minorHAnsi" w:cstheme="minorHAnsi"/>
              <w:b/>
            </w:rPr>
            <w:t>K</w:t>
          </w:r>
          <w:r w:rsidR="00F224EC">
            <w:rPr>
              <w:rFonts w:asciiTheme="minorHAnsi" w:hAnsiTheme="minorHAnsi" w:cstheme="minorHAnsi"/>
              <w:b/>
            </w:rPr>
            <w:t xml:space="preserve">YS </w:t>
          </w:r>
          <w:r w:rsidR="00CB3189">
            <w:rPr>
              <w:rFonts w:asciiTheme="minorHAnsi" w:hAnsiTheme="minorHAnsi" w:cstheme="minorHAnsi"/>
              <w:b/>
            </w:rPr>
            <w:t>GÖREV</w:t>
          </w:r>
          <w:r w:rsidR="00F224EC" w:rsidRPr="00A25166">
            <w:rPr>
              <w:rFonts w:asciiTheme="minorHAnsi" w:hAnsiTheme="minorHAnsi" w:cstheme="minorHAnsi"/>
              <w:b/>
            </w:rPr>
            <w:t xml:space="preserve"> FORMU</w:t>
          </w:r>
        </w:p>
      </w:tc>
      <w:tc>
        <w:tcPr>
          <w:tcW w:w="1560" w:type="dxa"/>
          <w:vAlign w:val="center"/>
        </w:tcPr>
        <w:p w14:paraId="0331ED79"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Tarihi</w:t>
          </w:r>
        </w:p>
      </w:tc>
      <w:tc>
        <w:tcPr>
          <w:tcW w:w="1701" w:type="dxa"/>
          <w:vAlign w:val="center"/>
        </w:tcPr>
        <w:p w14:paraId="2D6FDC00"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F224EC" w:rsidRPr="00984306" w14:paraId="0E182160" w14:textId="77777777" w:rsidTr="00D86D68">
      <w:trPr>
        <w:trHeight w:val="266"/>
        <w:jc w:val="center"/>
      </w:trPr>
      <w:tc>
        <w:tcPr>
          <w:tcW w:w="2263" w:type="dxa"/>
          <w:vMerge/>
          <w:vAlign w:val="center"/>
        </w:tcPr>
        <w:p w14:paraId="3DE60AED" w14:textId="77777777" w:rsidR="00F224EC" w:rsidRPr="00030328" w:rsidRDefault="00F224EC" w:rsidP="00F224EC">
          <w:pPr>
            <w:pStyle w:val="stBilgi"/>
            <w:spacing w:line="276" w:lineRule="auto"/>
            <w:rPr>
              <w:rFonts w:ascii="Cambria" w:hAnsi="Cambria" w:cs="Arial"/>
              <w:b/>
              <w:sz w:val="28"/>
            </w:rPr>
          </w:pPr>
        </w:p>
      </w:tc>
      <w:tc>
        <w:tcPr>
          <w:tcW w:w="5103" w:type="dxa"/>
          <w:vMerge/>
          <w:vAlign w:val="center"/>
        </w:tcPr>
        <w:p w14:paraId="3D3E022F" w14:textId="77777777" w:rsidR="00F224EC" w:rsidRPr="00565DB5" w:rsidRDefault="00F224EC" w:rsidP="00F224EC">
          <w:pPr>
            <w:pStyle w:val="stBilgi"/>
            <w:spacing w:line="276" w:lineRule="auto"/>
            <w:rPr>
              <w:rFonts w:ascii="Calibri" w:hAnsi="Calibri" w:cs="Calibri"/>
              <w:b/>
              <w:sz w:val="28"/>
            </w:rPr>
          </w:pPr>
        </w:p>
      </w:tc>
      <w:tc>
        <w:tcPr>
          <w:tcW w:w="1560" w:type="dxa"/>
          <w:vAlign w:val="center"/>
        </w:tcPr>
        <w:p w14:paraId="0EE6A7FC"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No</w:t>
          </w:r>
        </w:p>
      </w:tc>
      <w:tc>
        <w:tcPr>
          <w:tcW w:w="1701" w:type="dxa"/>
          <w:vAlign w:val="center"/>
        </w:tcPr>
        <w:p w14:paraId="41C71908" w14:textId="77777777" w:rsidR="00F224EC" w:rsidRPr="00565DB5" w:rsidRDefault="00F224EC" w:rsidP="00F224EC">
          <w:pPr>
            <w:rPr>
              <w:rFonts w:ascii="Calibri" w:hAnsi="Calibri" w:cs="Calibri"/>
              <w:sz w:val="20"/>
              <w:szCs w:val="20"/>
            </w:rPr>
          </w:pPr>
        </w:p>
      </w:tc>
    </w:tr>
    <w:tr w:rsidR="00F224EC" w:rsidRPr="00984306" w14:paraId="2751082B" w14:textId="77777777" w:rsidTr="00D86D68">
      <w:trPr>
        <w:trHeight w:val="141"/>
        <w:jc w:val="center"/>
      </w:trPr>
      <w:tc>
        <w:tcPr>
          <w:tcW w:w="2263" w:type="dxa"/>
          <w:vMerge/>
          <w:vAlign w:val="center"/>
        </w:tcPr>
        <w:p w14:paraId="4EC50EB4" w14:textId="77777777" w:rsidR="00F224EC" w:rsidRPr="00A23B82" w:rsidRDefault="00F224EC" w:rsidP="00F224EC">
          <w:pPr>
            <w:rPr>
              <w:rFonts w:ascii="Cambria" w:hAnsi="Cambria" w:cs="Tahoma"/>
              <w:sz w:val="20"/>
              <w:szCs w:val="20"/>
            </w:rPr>
          </w:pPr>
        </w:p>
      </w:tc>
      <w:tc>
        <w:tcPr>
          <w:tcW w:w="5103" w:type="dxa"/>
          <w:vMerge/>
          <w:vAlign w:val="center"/>
        </w:tcPr>
        <w:p w14:paraId="78D1FD62" w14:textId="77777777" w:rsidR="00F224EC" w:rsidRPr="00565DB5" w:rsidRDefault="00F224EC" w:rsidP="00F224EC">
          <w:pPr>
            <w:rPr>
              <w:rFonts w:ascii="Calibri" w:hAnsi="Calibri" w:cs="Calibri"/>
              <w:sz w:val="20"/>
              <w:szCs w:val="20"/>
            </w:rPr>
          </w:pPr>
        </w:p>
      </w:tc>
      <w:tc>
        <w:tcPr>
          <w:tcW w:w="1560" w:type="dxa"/>
          <w:vAlign w:val="center"/>
        </w:tcPr>
        <w:p w14:paraId="2AF28B52"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Sayfa Sayısı</w:t>
          </w:r>
        </w:p>
      </w:tc>
      <w:tc>
        <w:tcPr>
          <w:tcW w:w="1701" w:type="dxa"/>
          <w:vAlign w:val="center"/>
        </w:tcPr>
        <w:p w14:paraId="35D77FDD" w14:textId="77777777" w:rsidR="00F224EC" w:rsidRPr="00565DB5" w:rsidRDefault="006E4E0C" w:rsidP="00F224EC">
          <w:pPr>
            <w:rPr>
              <w:rFonts w:ascii="Calibri" w:hAnsi="Calibri" w:cs="Calibri"/>
              <w:sz w:val="20"/>
              <w:szCs w:val="20"/>
            </w:rPr>
          </w:pPr>
          <w:r w:rsidRPr="00565DB5">
            <w:rPr>
              <w:rFonts w:ascii="Calibri" w:hAnsi="Calibri" w:cs="Calibri"/>
              <w:sz w:val="20"/>
              <w:szCs w:val="20"/>
            </w:rPr>
            <w:fldChar w:fldCharType="begin"/>
          </w:r>
          <w:r w:rsidR="00F224EC"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A72A72">
            <w:rPr>
              <w:rFonts w:ascii="Calibri" w:hAnsi="Calibri" w:cs="Calibri"/>
              <w:noProof/>
              <w:sz w:val="20"/>
              <w:szCs w:val="20"/>
            </w:rPr>
            <w:t>2</w:t>
          </w:r>
          <w:r w:rsidRPr="00565DB5">
            <w:rPr>
              <w:rFonts w:ascii="Calibri" w:hAnsi="Calibri" w:cs="Calibri"/>
              <w:sz w:val="20"/>
              <w:szCs w:val="20"/>
            </w:rPr>
            <w:fldChar w:fldCharType="end"/>
          </w:r>
          <w:r w:rsidR="00F224EC" w:rsidRPr="00565DB5">
            <w:rPr>
              <w:rFonts w:ascii="Calibri" w:hAnsi="Calibri" w:cs="Calibri"/>
              <w:sz w:val="20"/>
              <w:szCs w:val="20"/>
            </w:rPr>
            <w:t xml:space="preserve"> / </w:t>
          </w:r>
          <w:r w:rsidRPr="00565DB5">
            <w:rPr>
              <w:rFonts w:ascii="Calibri" w:hAnsi="Calibri" w:cs="Calibri"/>
              <w:sz w:val="20"/>
              <w:szCs w:val="20"/>
            </w:rPr>
            <w:fldChar w:fldCharType="begin"/>
          </w:r>
          <w:r w:rsidR="00F224EC"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A72A72">
            <w:rPr>
              <w:rFonts w:ascii="Calibri" w:hAnsi="Calibri" w:cs="Calibri"/>
              <w:noProof/>
              <w:sz w:val="20"/>
              <w:szCs w:val="20"/>
            </w:rPr>
            <w:t>2</w:t>
          </w:r>
          <w:r w:rsidRPr="00565DB5">
            <w:rPr>
              <w:rFonts w:ascii="Calibri" w:hAnsi="Calibri" w:cs="Calibri"/>
              <w:sz w:val="20"/>
              <w:szCs w:val="20"/>
            </w:rPr>
            <w:fldChar w:fldCharType="end"/>
          </w:r>
        </w:p>
      </w:tc>
    </w:tr>
  </w:tbl>
  <w:p w14:paraId="6AB32D04" w14:textId="77777777" w:rsidR="00984306" w:rsidRDefault="00D62671"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241558"/>
    <w:multiLevelType w:val="hybridMultilevel"/>
    <w:tmpl w:val="3C260B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B113633"/>
    <w:multiLevelType w:val="hybridMultilevel"/>
    <w:tmpl w:val="EB8E6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F934D4"/>
    <w:multiLevelType w:val="hybridMultilevel"/>
    <w:tmpl w:val="B614C912"/>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9" w15:restartNumberingAfterBreak="0">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409687227">
    <w:abstractNumId w:val="4"/>
  </w:num>
  <w:num w:numId="2" w16cid:durableId="1933274916">
    <w:abstractNumId w:val="10"/>
  </w:num>
  <w:num w:numId="3" w16cid:durableId="85349692">
    <w:abstractNumId w:val="9"/>
  </w:num>
  <w:num w:numId="4" w16cid:durableId="397752078">
    <w:abstractNumId w:val="5"/>
  </w:num>
  <w:num w:numId="5" w16cid:durableId="1126855917">
    <w:abstractNumId w:val="11"/>
  </w:num>
  <w:num w:numId="6" w16cid:durableId="1251624932">
    <w:abstractNumId w:val="2"/>
  </w:num>
  <w:num w:numId="7" w16cid:durableId="1694261279">
    <w:abstractNumId w:val="8"/>
  </w:num>
  <w:num w:numId="8" w16cid:durableId="175194729">
    <w:abstractNumId w:val="1"/>
  </w:num>
  <w:num w:numId="9" w16cid:durableId="1551727461">
    <w:abstractNumId w:val="0"/>
  </w:num>
  <w:num w:numId="10" w16cid:durableId="1773626788">
    <w:abstractNumId w:val="6"/>
  </w:num>
  <w:num w:numId="11" w16cid:durableId="72090463">
    <w:abstractNumId w:val="12"/>
  </w:num>
  <w:num w:numId="12" w16cid:durableId="1632636303">
    <w:abstractNumId w:val="16"/>
  </w:num>
  <w:num w:numId="13" w16cid:durableId="1825925221">
    <w:abstractNumId w:val="19"/>
  </w:num>
  <w:num w:numId="14" w16cid:durableId="1325275777">
    <w:abstractNumId w:val="14"/>
  </w:num>
  <w:num w:numId="15" w16cid:durableId="908736656">
    <w:abstractNumId w:val="7"/>
  </w:num>
  <w:num w:numId="16" w16cid:durableId="1311717307">
    <w:abstractNumId w:val="3"/>
  </w:num>
  <w:num w:numId="17" w16cid:durableId="586884853">
    <w:abstractNumId w:val="15"/>
  </w:num>
  <w:num w:numId="18" w16cid:durableId="1829781011">
    <w:abstractNumId w:val="17"/>
  </w:num>
  <w:num w:numId="19" w16cid:durableId="463962005">
    <w:abstractNumId w:val="13"/>
  </w:num>
  <w:num w:numId="20" w16cid:durableId="1179733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A3541"/>
    <w:rsid w:val="000207D1"/>
    <w:rsid w:val="00026B17"/>
    <w:rsid w:val="00030328"/>
    <w:rsid w:val="00080DAD"/>
    <w:rsid w:val="00096CE4"/>
    <w:rsid w:val="000D058A"/>
    <w:rsid w:val="000D218F"/>
    <w:rsid w:val="000D21D4"/>
    <w:rsid w:val="000D34EB"/>
    <w:rsid w:val="000D3BB6"/>
    <w:rsid w:val="000E03D6"/>
    <w:rsid w:val="000E6477"/>
    <w:rsid w:val="000F754F"/>
    <w:rsid w:val="0010211F"/>
    <w:rsid w:val="00136258"/>
    <w:rsid w:val="001803B1"/>
    <w:rsid w:val="00183B21"/>
    <w:rsid w:val="00184455"/>
    <w:rsid w:val="00185947"/>
    <w:rsid w:val="00187F8B"/>
    <w:rsid w:val="001A61C9"/>
    <w:rsid w:val="001B1F0C"/>
    <w:rsid w:val="001F3285"/>
    <w:rsid w:val="001F40B8"/>
    <w:rsid w:val="00205952"/>
    <w:rsid w:val="002239FE"/>
    <w:rsid w:val="00232F83"/>
    <w:rsid w:val="0024074F"/>
    <w:rsid w:val="00240D83"/>
    <w:rsid w:val="002533EB"/>
    <w:rsid w:val="00272FD6"/>
    <w:rsid w:val="00274B5C"/>
    <w:rsid w:val="00283DE0"/>
    <w:rsid w:val="00290E7B"/>
    <w:rsid w:val="00294356"/>
    <w:rsid w:val="0029514E"/>
    <w:rsid w:val="002F394D"/>
    <w:rsid w:val="0030703C"/>
    <w:rsid w:val="0032225E"/>
    <w:rsid w:val="00375A00"/>
    <w:rsid w:val="00376EE4"/>
    <w:rsid w:val="00396248"/>
    <w:rsid w:val="003A357A"/>
    <w:rsid w:val="003A3887"/>
    <w:rsid w:val="003C0B37"/>
    <w:rsid w:val="003C3BE3"/>
    <w:rsid w:val="0040257F"/>
    <w:rsid w:val="00414BF9"/>
    <w:rsid w:val="00444FD0"/>
    <w:rsid w:val="00451998"/>
    <w:rsid w:val="00451F26"/>
    <w:rsid w:val="0045309B"/>
    <w:rsid w:val="00460017"/>
    <w:rsid w:val="00462858"/>
    <w:rsid w:val="00462BCA"/>
    <w:rsid w:val="00465342"/>
    <w:rsid w:val="00490AFC"/>
    <w:rsid w:val="004A3541"/>
    <w:rsid w:val="004B2359"/>
    <w:rsid w:val="004E2347"/>
    <w:rsid w:val="004E7829"/>
    <w:rsid w:val="005068E9"/>
    <w:rsid w:val="00516591"/>
    <w:rsid w:val="00516E84"/>
    <w:rsid w:val="00543E60"/>
    <w:rsid w:val="005515D6"/>
    <w:rsid w:val="0056151B"/>
    <w:rsid w:val="00565DB5"/>
    <w:rsid w:val="00580BC3"/>
    <w:rsid w:val="005A2E7C"/>
    <w:rsid w:val="005A626A"/>
    <w:rsid w:val="005B462F"/>
    <w:rsid w:val="005F32CF"/>
    <w:rsid w:val="005F741A"/>
    <w:rsid w:val="00603A4F"/>
    <w:rsid w:val="00611047"/>
    <w:rsid w:val="00615F94"/>
    <w:rsid w:val="0061660C"/>
    <w:rsid w:val="006479D0"/>
    <w:rsid w:val="00696AD5"/>
    <w:rsid w:val="006D46A4"/>
    <w:rsid w:val="006E4E0C"/>
    <w:rsid w:val="006F5009"/>
    <w:rsid w:val="006F79E1"/>
    <w:rsid w:val="00703CF8"/>
    <w:rsid w:val="0071035A"/>
    <w:rsid w:val="00713208"/>
    <w:rsid w:val="00723C03"/>
    <w:rsid w:val="00751464"/>
    <w:rsid w:val="00757063"/>
    <w:rsid w:val="00782A64"/>
    <w:rsid w:val="007B72F9"/>
    <w:rsid w:val="007C20AE"/>
    <w:rsid w:val="007D0A18"/>
    <w:rsid w:val="008273C6"/>
    <w:rsid w:val="008336D4"/>
    <w:rsid w:val="00833944"/>
    <w:rsid w:val="00843483"/>
    <w:rsid w:val="00862051"/>
    <w:rsid w:val="00882821"/>
    <w:rsid w:val="008A7ED9"/>
    <w:rsid w:val="009342B8"/>
    <w:rsid w:val="00942231"/>
    <w:rsid w:val="00947587"/>
    <w:rsid w:val="00984306"/>
    <w:rsid w:val="009A3B2A"/>
    <w:rsid w:val="009B63D5"/>
    <w:rsid w:val="009C5488"/>
    <w:rsid w:val="00A017E4"/>
    <w:rsid w:val="00A22C74"/>
    <w:rsid w:val="00A2416C"/>
    <w:rsid w:val="00A25166"/>
    <w:rsid w:val="00A30429"/>
    <w:rsid w:val="00A50CD2"/>
    <w:rsid w:val="00A61F4C"/>
    <w:rsid w:val="00A72A72"/>
    <w:rsid w:val="00AB33FC"/>
    <w:rsid w:val="00AE4AA1"/>
    <w:rsid w:val="00B44F87"/>
    <w:rsid w:val="00B71452"/>
    <w:rsid w:val="00B87814"/>
    <w:rsid w:val="00B913F7"/>
    <w:rsid w:val="00BC6C25"/>
    <w:rsid w:val="00BD5CD4"/>
    <w:rsid w:val="00C01646"/>
    <w:rsid w:val="00C13EC4"/>
    <w:rsid w:val="00C406DE"/>
    <w:rsid w:val="00C74E40"/>
    <w:rsid w:val="00C76B03"/>
    <w:rsid w:val="00C823D8"/>
    <w:rsid w:val="00C93057"/>
    <w:rsid w:val="00CB3189"/>
    <w:rsid w:val="00CB52DA"/>
    <w:rsid w:val="00CC1753"/>
    <w:rsid w:val="00D042C1"/>
    <w:rsid w:val="00D103AF"/>
    <w:rsid w:val="00D116FB"/>
    <w:rsid w:val="00D125E6"/>
    <w:rsid w:val="00D202EC"/>
    <w:rsid w:val="00D23623"/>
    <w:rsid w:val="00D36FF3"/>
    <w:rsid w:val="00D62671"/>
    <w:rsid w:val="00D65724"/>
    <w:rsid w:val="00D65D6D"/>
    <w:rsid w:val="00D86D68"/>
    <w:rsid w:val="00DA17DB"/>
    <w:rsid w:val="00DA52E0"/>
    <w:rsid w:val="00DB4792"/>
    <w:rsid w:val="00E651E9"/>
    <w:rsid w:val="00E70110"/>
    <w:rsid w:val="00E7574B"/>
    <w:rsid w:val="00E861BA"/>
    <w:rsid w:val="00EC16BB"/>
    <w:rsid w:val="00EC61F8"/>
    <w:rsid w:val="00EE38B0"/>
    <w:rsid w:val="00EE6D3C"/>
    <w:rsid w:val="00EF0EDE"/>
    <w:rsid w:val="00EF354D"/>
    <w:rsid w:val="00F203D8"/>
    <w:rsid w:val="00F224EC"/>
    <w:rsid w:val="00F35F56"/>
    <w:rsid w:val="00F454B4"/>
    <w:rsid w:val="00F54B92"/>
    <w:rsid w:val="00F562D8"/>
    <w:rsid w:val="00F65912"/>
    <w:rsid w:val="00F80B13"/>
    <w:rsid w:val="00F95BB8"/>
    <w:rsid w:val="00FA566E"/>
    <w:rsid w:val="00FB7199"/>
    <w:rsid w:val="00FD3D49"/>
    <w:rsid w:val="00FD73A2"/>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97C9"/>
  <w15:docId w15:val="{979E1C5A-6A29-487E-9BF1-F33E9D03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 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 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220096453">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SERAP</cp:lastModifiedBy>
  <cp:revision>17</cp:revision>
  <cp:lastPrinted>2022-05-26T14:26:00Z</cp:lastPrinted>
  <dcterms:created xsi:type="dcterms:W3CDTF">2022-04-15T10:36:00Z</dcterms:created>
  <dcterms:modified xsi:type="dcterms:W3CDTF">2022-05-26T14:26:00Z</dcterms:modified>
</cp:coreProperties>
</file>