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56290F">
      <w:pPr>
        <w:rPr>
          <w:rFonts w:cstheme="minorHAnsi"/>
          <w:sz w:val="20"/>
          <w:szCs w:val="20"/>
        </w:rPr>
      </w:pPr>
    </w:p>
    <w:p w:rsidR="00467D1C" w:rsidRPr="00C46BD6" w:rsidRDefault="00467D1C" w:rsidP="00467D1C">
      <w:pPr>
        <w:pStyle w:val="AralkYok"/>
        <w:rPr>
          <w:rFonts w:ascii="Calibri" w:eastAsia="Calibri" w:hAnsi="Calibri" w:cs="Calibri"/>
          <w:lang w:eastAsia="en-US"/>
        </w:rPr>
      </w:pPr>
      <w:r>
        <w:rPr>
          <w:rFonts w:cstheme="minorHAnsi"/>
          <w:sz w:val="20"/>
          <w:szCs w:val="20"/>
        </w:rPr>
        <w:t>GÜÇLÜ YÖNLER</w:t>
      </w:r>
      <w:r w:rsidR="0056290F">
        <w:rPr>
          <w:rFonts w:cstheme="minorHAnsi"/>
          <w:sz w:val="20"/>
          <w:szCs w:val="20"/>
        </w:rPr>
        <w:tab/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5"/>
        <w:gridCol w:w="7452"/>
      </w:tblGrid>
      <w:tr w:rsidR="00467D1C" w:rsidRPr="00987750" w:rsidTr="00467D1C">
        <w:trPr>
          <w:trHeight w:hRule="exact" w:val="1278"/>
        </w:trPr>
        <w:tc>
          <w:tcPr>
            <w:tcW w:w="1675" w:type="dxa"/>
            <w:shd w:val="clear" w:color="auto" w:fill="B6DDE8" w:themeFill="accent5" w:themeFillTint="66"/>
          </w:tcPr>
          <w:p w:rsidR="00467D1C" w:rsidRPr="00987750" w:rsidRDefault="00467D1C" w:rsidP="0036461E">
            <w:r w:rsidRPr="00987750">
              <w:t>Öğrenciler</w:t>
            </w:r>
          </w:p>
        </w:tc>
        <w:tc>
          <w:tcPr>
            <w:tcW w:w="7452" w:type="dxa"/>
            <w:shd w:val="clear" w:color="auto" w:fill="B6DDE8" w:themeFill="accent5" w:themeFillTint="66"/>
          </w:tcPr>
          <w:p w:rsidR="00467D1C" w:rsidRDefault="00467D1C" w:rsidP="0036461E">
            <w:r>
              <w:t xml:space="preserve">1-) Konum itibariyle Hafta içi ve hafta sonu gezi ve eğlence mekânlarına yakınlık </w:t>
            </w:r>
          </w:p>
          <w:p w:rsidR="00467D1C" w:rsidRDefault="00467D1C" w:rsidP="0036461E">
            <w:r>
              <w:t>2-)Kurs çeşitliliği</w:t>
            </w:r>
          </w:p>
          <w:p w:rsidR="00467D1C" w:rsidRPr="00987750" w:rsidRDefault="00467D1C" w:rsidP="0036461E">
            <w:r>
              <w:t>3) Kuruma erişim kolaylığı</w:t>
            </w:r>
          </w:p>
        </w:tc>
      </w:tr>
      <w:tr w:rsidR="00467D1C" w:rsidRPr="00987750" w:rsidTr="00467D1C">
        <w:trPr>
          <w:trHeight w:hRule="exact" w:val="2700"/>
        </w:trPr>
        <w:tc>
          <w:tcPr>
            <w:tcW w:w="1675" w:type="dxa"/>
            <w:shd w:val="clear" w:color="auto" w:fill="auto"/>
          </w:tcPr>
          <w:p w:rsidR="00467D1C" w:rsidRPr="00987750" w:rsidRDefault="00467D1C" w:rsidP="0036461E">
            <w:r w:rsidRPr="00987750">
              <w:t>Çalışanlar</w:t>
            </w:r>
          </w:p>
        </w:tc>
        <w:tc>
          <w:tcPr>
            <w:tcW w:w="7452" w:type="dxa"/>
            <w:shd w:val="clear" w:color="auto" w:fill="auto"/>
          </w:tcPr>
          <w:p w:rsidR="00467D1C" w:rsidRDefault="00467D1C" w:rsidP="0036461E">
            <w:r>
              <w:t xml:space="preserve">1-)Köklü bir kurum olmamız </w:t>
            </w:r>
          </w:p>
          <w:p w:rsidR="00467D1C" w:rsidRDefault="00467D1C" w:rsidP="0036461E">
            <w:r>
              <w:t xml:space="preserve">2-)ilçemizin hem konumu hem </w:t>
            </w:r>
            <w:proofErr w:type="spellStart"/>
            <w:r>
              <w:t>sosyo</w:t>
            </w:r>
            <w:proofErr w:type="spellEnd"/>
            <w:r>
              <w:t>-kültürel özelliğinden dolayı kurum çalışanları diğer kurumlara nazaran kurumu sahiplenme konusunda daha istekli olması</w:t>
            </w:r>
          </w:p>
          <w:p w:rsidR="00467D1C" w:rsidRDefault="00467D1C" w:rsidP="0036461E">
            <w:r>
              <w:t xml:space="preserve">3-) Kurumun çalışanlarına sağladığı derslik ve kurs açma </w:t>
            </w:r>
            <w:proofErr w:type="gramStart"/>
            <w:r>
              <w:t>imkanları</w:t>
            </w:r>
            <w:proofErr w:type="gramEnd"/>
          </w:p>
          <w:p w:rsidR="00467D1C" w:rsidRPr="00987750" w:rsidRDefault="00467D1C" w:rsidP="0036461E">
            <w:r>
              <w:t>4-)</w:t>
            </w:r>
            <w:r w:rsidRPr="00987750">
              <w:t xml:space="preserve"> Güçlü ve deneyimli öğretmen kadrosu </w:t>
            </w:r>
          </w:p>
          <w:p w:rsidR="00467D1C" w:rsidRPr="00987750" w:rsidRDefault="00467D1C" w:rsidP="0036461E">
            <w:r>
              <w:t xml:space="preserve">5-) </w:t>
            </w:r>
            <w:r w:rsidRPr="00987750">
              <w:t>Çalışanlarımızın uyumlu ve iş birliği içinde çalışma ve kurum kültürüne sahip olması</w:t>
            </w:r>
          </w:p>
          <w:p w:rsidR="00467D1C" w:rsidRPr="00987750" w:rsidRDefault="00467D1C" w:rsidP="0036461E">
            <w:r>
              <w:t xml:space="preserve">6-) </w:t>
            </w:r>
            <w:r w:rsidRPr="00987750">
              <w:t xml:space="preserve"> Öğretmen yönetici iş birliğinin güçlü olması</w:t>
            </w:r>
          </w:p>
        </w:tc>
      </w:tr>
      <w:tr w:rsidR="00467D1C" w:rsidRPr="00987750" w:rsidTr="00467D1C">
        <w:trPr>
          <w:trHeight w:hRule="exact" w:val="1973"/>
        </w:trPr>
        <w:tc>
          <w:tcPr>
            <w:tcW w:w="1675" w:type="dxa"/>
            <w:shd w:val="clear" w:color="auto" w:fill="B6DDE8" w:themeFill="accent5" w:themeFillTint="66"/>
          </w:tcPr>
          <w:p w:rsidR="00467D1C" w:rsidRPr="00987750" w:rsidRDefault="00467D1C" w:rsidP="0036461E">
            <w:r w:rsidRPr="00987750">
              <w:t>Bina ve Yerleşke</w:t>
            </w:r>
          </w:p>
        </w:tc>
        <w:tc>
          <w:tcPr>
            <w:tcW w:w="7452" w:type="dxa"/>
            <w:shd w:val="clear" w:color="auto" w:fill="B6DDE8" w:themeFill="accent5" w:themeFillTint="66"/>
          </w:tcPr>
          <w:p w:rsidR="00467D1C" w:rsidRDefault="00467D1C" w:rsidP="0036461E">
            <w:r>
              <w:t xml:space="preserve">1-) Binamızın klasik hatlarda ve tarihi özellikte olması </w:t>
            </w:r>
          </w:p>
          <w:p w:rsidR="00467D1C" w:rsidRDefault="00467D1C" w:rsidP="0036461E">
            <w:r>
              <w:t xml:space="preserve">2-)Yerleşke özellikleri dikkate alındığında kurum içi birimlere erişebilmek, sorun çözme ve karşılama </w:t>
            </w:r>
            <w:proofErr w:type="gramStart"/>
            <w:r>
              <w:t>imkanları</w:t>
            </w:r>
            <w:proofErr w:type="gramEnd"/>
            <w:r>
              <w:t xml:space="preserve"> </w:t>
            </w:r>
          </w:p>
          <w:p w:rsidR="00467D1C" w:rsidRDefault="00467D1C" w:rsidP="0036461E">
            <w:r>
              <w:t>3-) Merkezi konum</w:t>
            </w:r>
          </w:p>
          <w:p w:rsidR="00467D1C" w:rsidRDefault="00467D1C" w:rsidP="0036461E">
            <w:r>
              <w:t xml:space="preserve">4-) Eğlence ve sosyal </w:t>
            </w:r>
            <w:proofErr w:type="gramStart"/>
            <w:r>
              <w:t>mekanlara</w:t>
            </w:r>
            <w:proofErr w:type="gramEnd"/>
            <w:r>
              <w:t xml:space="preserve"> yakınlık,</w:t>
            </w:r>
          </w:p>
          <w:p w:rsidR="00467D1C" w:rsidRPr="00987750" w:rsidRDefault="00467D1C" w:rsidP="0036461E">
            <w:r>
              <w:t xml:space="preserve">5-) </w:t>
            </w:r>
            <w:r w:rsidRPr="00987750">
              <w:t>Okula ulaşımın kolay olması</w:t>
            </w:r>
          </w:p>
          <w:p w:rsidR="00467D1C" w:rsidRPr="00987750" w:rsidRDefault="00467D1C" w:rsidP="0036461E"/>
        </w:tc>
      </w:tr>
      <w:tr w:rsidR="00467D1C" w:rsidRPr="00987750" w:rsidTr="00467D1C">
        <w:trPr>
          <w:trHeight w:hRule="exact" w:val="1811"/>
        </w:trPr>
        <w:tc>
          <w:tcPr>
            <w:tcW w:w="1675" w:type="dxa"/>
            <w:shd w:val="clear" w:color="auto" w:fill="B6DDE8" w:themeFill="accent5" w:themeFillTint="66"/>
          </w:tcPr>
          <w:p w:rsidR="00467D1C" w:rsidRPr="00987750" w:rsidRDefault="00467D1C" w:rsidP="0036461E">
            <w:r w:rsidRPr="00987750">
              <w:t>Donanım</w:t>
            </w:r>
          </w:p>
        </w:tc>
        <w:tc>
          <w:tcPr>
            <w:tcW w:w="7452" w:type="dxa"/>
            <w:shd w:val="clear" w:color="auto" w:fill="B6DDE8" w:themeFill="accent5" w:themeFillTint="66"/>
          </w:tcPr>
          <w:p w:rsidR="00467D1C" w:rsidRDefault="00467D1C" w:rsidP="0036461E">
            <w:r>
              <w:t xml:space="preserve">1-)Kurum içi teknolojik cihazlar, sanatsal </w:t>
            </w:r>
            <w:proofErr w:type="gramStart"/>
            <w:r>
              <w:t>ekipmanlar</w:t>
            </w:r>
            <w:proofErr w:type="gramEnd"/>
            <w:r>
              <w:t xml:space="preserve">, atölye ve </w:t>
            </w:r>
            <w:proofErr w:type="spellStart"/>
            <w:r>
              <w:t>laboratuvar</w:t>
            </w:r>
            <w:proofErr w:type="spellEnd"/>
            <w:r>
              <w:t xml:space="preserve"> çeşitliliği kurumun kurs çeşitliliğini ve sürdürülebilirliğini arttırmaktadır.</w:t>
            </w:r>
          </w:p>
          <w:p w:rsidR="00467D1C" w:rsidRDefault="00467D1C" w:rsidP="0036461E">
            <w:r>
              <w:t>2-) Döner sermaye imkânlarının donanımın gelişiminde kullanılması</w:t>
            </w:r>
          </w:p>
          <w:p w:rsidR="00467D1C" w:rsidRDefault="00467D1C" w:rsidP="0036461E">
            <w:pPr>
              <w:pStyle w:val="AralkYok"/>
              <w:jc w:val="both"/>
            </w:pPr>
            <w:r>
              <w:t xml:space="preserve">3-) </w:t>
            </w:r>
            <w:r w:rsidRPr="00987750">
              <w:t>ADSL bağlantısının olması</w:t>
            </w:r>
          </w:p>
          <w:p w:rsidR="00467D1C" w:rsidRPr="00987750" w:rsidRDefault="00467D1C" w:rsidP="0036461E">
            <w:pPr>
              <w:pStyle w:val="AralkYok"/>
              <w:jc w:val="both"/>
            </w:pPr>
          </w:p>
          <w:p w:rsidR="00467D1C" w:rsidRPr="00987750" w:rsidRDefault="00467D1C" w:rsidP="0036461E">
            <w:r>
              <w:t xml:space="preserve">4-) </w:t>
            </w:r>
            <w:r w:rsidRPr="00987750">
              <w:t>Güvenlik kameralarının olması</w:t>
            </w:r>
          </w:p>
          <w:p w:rsidR="00467D1C" w:rsidRPr="00987750" w:rsidRDefault="00467D1C" w:rsidP="0036461E">
            <w:r>
              <w:t xml:space="preserve">5-) </w:t>
            </w:r>
            <w:r w:rsidRPr="00987750">
              <w:t xml:space="preserve">Her sınıfta bilgisayar ve </w:t>
            </w:r>
            <w:proofErr w:type="gramStart"/>
            <w:r w:rsidRPr="00987750">
              <w:t>projeksiyon</w:t>
            </w:r>
            <w:proofErr w:type="gramEnd"/>
            <w:r w:rsidRPr="00987750">
              <w:t xml:space="preserve"> makinesi olması</w:t>
            </w:r>
          </w:p>
        </w:tc>
      </w:tr>
      <w:tr w:rsidR="00467D1C" w:rsidRPr="00987750" w:rsidTr="00467D1C">
        <w:trPr>
          <w:trHeight w:hRule="exact" w:val="1021"/>
        </w:trPr>
        <w:tc>
          <w:tcPr>
            <w:tcW w:w="1675" w:type="dxa"/>
            <w:shd w:val="clear" w:color="auto" w:fill="auto"/>
          </w:tcPr>
          <w:p w:rsidR="00467D1C" w:rsidRPr="00987750" w:rsidRDefault="00467D1C" w:rsidP="0036461E">
            <w:r w:rsidRPr="00987750">
              <w:t>Bütçe</w:t>
            </w:r>
          </w:p>
        </w:tc>
        <w:tc>
          <w:tcPr>
            <w:tcW w:w="7452" w:type="dxa"/>
            <w:shd w:val="clear" w:color="auto" w:fill="auto"/>
          </w:tcPr>
          <w:p w:rsidR="00467D1C" w:rsidRDefault="00467D1C" w:rsidP="0036461E">
            <w:r>
              <w:t xml:space="preserve">1-)Kurum içi döner sermaye imkânlar( tiyatro, kermesler, çeşitli organizasyonlara ev sahipliği yapma imkânı) </w:t>
            </w:r>
          </w:p>
          <w:p w:rsidR="00467D1C" w:rsidRPr="00987750" w:rsidRDefault="00467D1C" w:rsidP="0036461E">
            <w:r>
              <w:t>2-) Kermesler</w:t>
            </w:r>
          </w:p>
        </w:tc>
      </w:tr>
      <w:tr w:rsidR="00467D1C" w:rsidRPr="00987750" w:rsidTr="00467D1C">
        <w:trPr>
          <w:trHeight w:hRule="exact" w:val="1228"/>
        </w:trPr>
        <w:tc>
          <w:tcPr>
            <w:tcW w:w="1675" w:type="dxa"/>
            <w:shd w:val="clear" w:color="auto" w:fill="B6DDE8" w:themeFill="accent5" w:themeFillTint="66"/>
          </w:tcPr>
          <w:p w:rsidR="00467D1C" w:rsidRPr="00987750" w:rsidRDefault="00467D1C" w:rsidP="0036461E">
            <w:r w:rsidRPr="00987750">
              <w:t>Yönetim Süreçleri</w:t>
            </w:r>
          </w:p>
        </w:tc>
        <w:tc>
          <w:tcPr>
            <w:tcW w:w="7452" w:type="dxa"/>
            <w:shd w:val="clear" w:color="auto" w:fill="B6DDE8" w:themeFill="accent5" w:themeFillTint="66"/>
          </w:tcPr>
          <w:p w:rsidR="00467D1C" w:rsidRDefault="00467D1C" w:rsidP="0036461E">
            <w:r>
              <w:t>1-) İdarecilerimizin yetkinliği ve konumumuz ve köklü tarihimizden dolayı uzman yöneticilerin kurum tercihi</w:t>
            </w:r>
          </w:p>
          <w:p w:rsidR="00467D1C" w:rsidRPr="00987750" w:rsidRDefault="00467D1C" w:rsidP="0036461E">
            <w:r>
              <w:t>2-)İlçe milli eğitim müdürlüğü ve kaymakamlığa yakın olmak</w:t>
            </w:r>
          </w:p>
        </w:tc>
      </w:tr>
      <w:tr w:rsidR="00467D1C" w:rsidRPr="00987750" w:rsidTr="00467D1C">
        <w:trPr>
          <w:trHeight w:hRule="exact" w:val="2477"/>
        </w:trPr>
        <w:tc>
          <w:tcPr>
            <w:tcW w:w="1675" w:type="dxa"/>
            <w:shd w:val="clear" w:color="auto" w:fill="auto"/>
          </w:tcPr>
          <w:p w:rsidR="00467D1C" w:rsidRPr="00987750" w:rsidRDefault="00467D1C" w:rsidP="0036461E">
            <w:r w:rsidRPr="00987750">
              <w:lastRenderedPageBreak/>
              <w:t>İletişim Süreçleri</w:t>
            </w:r>
          </w:p>
        </w:tc>
        <w:tc>
          <w:tcPr>
            <w:tcW w:w="7452" w:type="dxa"/>
            <w:shd w:val="clear" w:color="auto" w:fill="auto"/>
          </w:tcPr>
          <w:p w:rsidR="00467D1C" w:rsidRDefault="00467D1C" w:rsidP="0036461E">
            <w:r>
              <w:t>1-)Konum özellikleri itibariyle ilçe merkezinde olmamız neticesinde hedef kitlemize görsel ve yazılı biçimde ulaşmamızda zorluk yaşamamamıza imkân sağlamaktadır.</w:t>
            </w:r>
          </w:p>
          <w:p w:rsidR="00467D1C" w:rsidRPr="00987750" w:rsidRDefault="00467D1C" w:rsidP="0036461E">
            <w:r>
              <w:t>2</w:t>
            </w:r>
            <w:r w:rsidRPr="00987750">
              <w:t>. Dış paydaşlara yakın bir konumda bulunması</w:t>
            </w:r>
          </w:p>
          <w:p w:rsidR="00467D1C" w:rsidRPr="00987750" w:rsidRDefault="00467D1C" w:rsidP="0036461E">
            <w:r>
              <w:t>3</w:t>
            </w:r>
            <w:r w:rsidRPr="00987750">
              <w:t>. Okulun diğer okul ve kurumlarla işbirliği içinde olması</w:t>
            </w:r>
          </w:p>
          <w:p w:rsidR="00467D1C" w:rsidRDefault="00467D1C" w:rsidP="0036461E">
            <w:pPr>
              <w:pStyle w:val="AralkYok"/>
            </w:pPr>
            <w:r>
              <w:t>4</w:t>
            </w:r>
            <w:r w:rsidRPr="00987750">
              <w:t>.Okul yönetici ve öğretmenlerinin ihtiyaç duyduğunda İlçe Milli Eğitim Müdürlüğü yöneticilerine ulaşabilmesi</w:t>
            </w:r>
          </w:p>
          <w:p w:rsidR="00467D1C" w:rsidRPr="00987750" w:rsidRDefault="00467D1C" w:rsidP="0036461E">
            <w:pPr>
              <w:pStyle w:val="AralkYok"/>
            </w:pPr>
          </w:p>
          <w:p w:rsidR="00467D1C" w:rsidRPr="00987750" w:rsidRDefault="00467D1C" w:rsidP="0036461E">
            <w:r>
              <w:t>5</w:t>
            </w:r>
            <w:r w:rsidRPr="00987750">
              <w:t>.Okul Aile Birliğinin iş birliğine açık olması</w:t>
            </w:r>
          </w:p>
          <w:p w:rsidR="00467D1C" w:rsidRPr="00987750" w:rsidRDefault="00467D1C" w:rsidP="0036461E">
            <w:r>
              <w:t>6</w:t>
            </w:r>
            <w:r w:rsidRPr="00987750">
              <w:t>.STK ve yerel yönetimlerle işbirliği içinde olunması</w:t>
            </w:r>
          </w:p>
          <w:p w:rsidR="00467D1C" w:rsidRPr="00987750" w:rsidRDefault="00467D1C" w:rsidP="0036461E">
            <w:r>
              <w:t>7</w:t>
            </w:r>
            <w:r w:rsidRPr="00987750">
              <w:t>. Üniversite ile işbirliğinde olunması</w:t>
            </w:r>
          </w:p>
        </w:tc>
      </w:tr>
    </w:tbl>
    <w:p w:rsidR="0056290F" w:rsidRPr="00C46BD6" w:rsidRDefault="00467D1C" w:rsidP="00467D1C">
      <w:pPr>
        <w:pStyle w:val="AralkYok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ZAYIF YÖNLER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4"/>
        <w:gridCol w:w="8034"/>
      </w:tblGrid>
      <w:tr w:rsidR="00467D1C" w:rsidRPr="00987750" w:rsidTr="00467D1C">
        <w:trPr>
          <w:trHeight w:val="1464"/>
        </w:trPr>
        <w:tc>
          <w:tcPr>
            <w:tcW w:w="1784" w:type="dxa"/>
            <w:shd w:val="clear" w:color="auto" w:fill="B6DDE8" w:themeFill="accent5" w:themeFillTint="66"/>
          </w:tcPr>
          <w:p w:rsidR="00467D1C" w:rsidRPr="00987750" w:rsidRDefault="00467D1C" w:rsidP="0036461E">
            <w:pPr>
              <w:tabs>
                <w:tab w:val="right" w:pos="2302"/>
              </w:tabs>
            </w:pPr>
            <w:r w:rsidRPr="00987750">
              <w:t>Öğrenciler</w:t>
            </w:r>
            <w:r>
              <w:tab/>
            </w:r>
          </w:p>
        </w:tc>
        <w:tc>
          <w:tcPr>
            <w:tcW w:w="8034" w:type="dxa"/>
            <w:shd w:val="clear" w:color="auto" w:fill="B6DDE8" w:themeFill="accent5" w:themeFillTint="66"/>
          </w:tcPr>
          <w:p w:rsidR="00467D1C" w:rsidRDefault="00467D1C" w:rsidP="00467D1C">
            <w:pPr>
              <w:pStyle w:val="ListeParagraf"/>
              <w:numPr>
                <w:ilvl w:val="0"/>
                <w:numId w:val="18"/>
              </w:numPr>
              <w:spacing w:after="160" w:line="300" w:lineRule="auto"/>
            </w:pPr>
            <w:r w:rsidRPr="00987750">
              <w:t>Teknolojik aletlere bağımlılığın artışı</w:t>
            </w:r>
          </w:p>
          <w:p w:rsidR="00467D1C" w:rsidRDefault="00467D1C" w:rsidP="00467D1C">
            <w:pPr>
              <w:pStyle w:val="ListeParagraf"/>
              <w:numPr>
                <w:ilvl w:val="0"/>
                <w:numId w:val="18"/>
              </w:numPr>
              <w:spacing w:after="160" w:line="300" w:lineRule="auto"/>
            </w:pPr>
            <w:r>
              <w:t>Öğrencilerin çalışan kesimden olması</w:t>
            </w:r>
          </w:p>
          <w:p w:rsidR="00467D1C" w:rsidRDefault="00467D1C" w:rsidP="00467D1C">
            <w:pPr>
              <w:pStyle w:val="ListeParagraf"/>
              <w:numPr>
                <w:ilvl w:val="0"/>
                <w:numId w:val="18"/>
              </w:numPr>
              <w:spacing w:after="160" w:line="300" w:lineRule="auto"/>
            </w:pPr>
            <w:r>
              <w:t>Sanatsal ve kültürel kurlara devam eden kesimin yaşları</w:t>
            </w:r>
          </w:p>
          <w:p w:rsidR="00467D1C" w:rsidRPr="00987750" w:rsidRDefault="00467D1C" w:rsidP="00467D1C">
            <w:pPr>
              <w:pStyle w:val="ListeParagraf"/>
              <w:numPr>
                <w:ilvl w:val="0"/>
                <w:numId w:val="18"/>
              </w:numPr>
              <w:spacing w:after="160" w:line="300" w:lineRule="auto"/>
            </w:pPr>
            <w:r>
              <w:t>Çevre sakinlerinin yaş ortalaması</w:t>
            </w:r>
          </w:p>
        </w:tc>
      </w:tr>
      <w:tr w:rsidR="00467D1C" w:rsidRPr="00987750" w:rsidTr="00467D1C">
        <w:trPr>
          <w:trHeight w:val="1070"/>
        </w:trPr>
        <w:tc>
          <w:tcPr>
            <w:tcW w:w="1784" w:type="dxa"/>
            <w:shd w:val="clear" w:color="auto" w:fill="auto"/>
          </w:tcPr>
          <w:p w:rsidR="00467D1C" w:rsidRPr="00987750" w:rsidRDefault="00467D1C" w:rsidP="0036461E">
            <w:r w:rsidRPr="00987750">
              <w:t>Çalışanlar</w:t>
            </w:r>
          </w:p>
        </w:tc>
        <w:tc>
          <w:tcPr>
            <w:tcW w:w="8034" w:type="dxa"/>
            <w:shd w:val="clear" w:color="auto" w:fill="auto"/>
          </w:tcPr>
          <w:p w:rsidR="00467D1C" w:rsidRDefault="00467D1C" w:rsidP="00467D1C">
            <w:pPr>
              <w:pStyle w:val="ListeParagraf"/>
              <w:numPr>
                <w:ilvl w:val="0"/>
                <w:numId w:val="19"/>
              </w:numPr>
              <w:spacing w:after="160" w:line="300" w:lineRule="auto"/>
            </w:pPr>
            <w:r>
              <w:t>Fiziki mekânların yetersiz kalması</w:t>
            </w:r>
          </w:p>
          <w:p w:rsidR="00467D1C" w:rsidRDefault="00467D1C" w:rsidP="00467D1C">
            <w:pPr>
              <w:pStyle w:val="ListeParagraf"/>
              <w:numPr>
                <w:ilvl w:val="0"/>
                <w:numId w:val="19"/>
              </w:numPr>
              <w:spacing w:after="160" w:line="300" w:lineRule="auto"/>
            </w:pPr>
            <w:r>
              <w:t>Otopark sorunu</w:t>
            </w:r>
          </w:p>
          <w:p w:rsidR="00467D1C" w:rsidRPr="00987750" w:rsidRDefault="00467D1C" w:rsidP="00467D1C">
            <w:pPr>
              <w:pStyle w:val="ListeParagraf"/>
              <w:numPr>
                <w:ilvl w:val="0"/>
                <w:numId w:val="19"/>
              </w:numPr>
              <w:spacing w:after="160" w:line="300" w:lineRule="auto"/>
            </w:pPr>
            <w:r>
              <w:t>Binaya giriş ve çıkış yoğunluğu</w:t>
            </w:r>
          </w:p>
        </w:tc>
      </w:tr>
      <w:tr w:rsidR="00467D1C" w:rsidRPr="00987750" w:rsidTr="00467D1C">
        <w:trPr>
          <w:trHeight w:val="721"/>
        </w:trPr>
        <w:tc>
          <w:tcPr>
            <w:tcW w:w="1784" w:type="dxa"/>
            <w:shd w:val="clear" w:color="auto" w:fill="auto"/>
          </w:tcPr>
          <w:p w:rsidR="00467D1C" w:rsidRPr="00987750" w:rsidRDefault="00467D1C" w:rsidP="0036461E">
            <w:r w:rsidRPr="00987750">
              <w:t>Bina ve Yerleşke</w:t>
            </w:r>
          </w:p>
        </w:tc>
        <w:tc>
          <w:tcPr>
            <w:tcW w:w="8034" w:type="dxa"/>
            <w:shd w:val="clear" w:color="auto" w:fill="auto"/>
          </w:tcPr>
          <w:p w:rsidR="00467D1C" w:rsidRDefault="00467D1C" w:rsidP="0036461E">
            <w:r>
              <w:t>Binaya giriş çıkışının çok fazla olması ve güvenlik sorunu</w:t>
            </w:r>
          </w:p>
          <w:p w:rsidR="00467D1C" w:rsidRPr="00987750" w:rsidRDefault="00467D1C" w:rsidP="0036461E">
            <w:r>
              <w:t xml:space="preserve">Temizlik ve </w:t>
            </w:r>
            <w:proofErr w:type="gramStart"/>
            <w:r>
              <w:t>hijyen</w:t>
            </w:r>
            <w:proofErr w:type="gramEnd"/>
          </w:p>
        </w:tc>
      </w:tr>
      <w:tr w:rsidR="00467D1C" w:rsidRPr="00987750" w:rsidTr="00467D1C">
        <w:trPr>
          <w:trHeight w:val="703"/>
        </w:trPr>
        <w:tc>
          <w:tcPr>
            <w:tcW w:w="1784" w:type="dxa"/>
            <w:shd w:val="clear" w:color="auto" w:fill="B6DDE8" w:themeFill="accent5" w:themeFillTint="66"/>
          </w:tcPr>
          <w:p w:rsidR="00467D1C" w:rsidRPr="00987750" w:rsidRDefault="00467D1C" w:rsidP="0036461E">
            <w:r w:rsidRPr="00987750">
              <w:t>Donanım</w:t>
            </w:r>
          </w:p>
        </w:tc>
        <w:tc>
          <w:tcPr>
            <w:tcW w:w="8034" w:type="dxa"/>
            <w:shd w:val="clear" w:color="auto" w:fill="B6DDE8" w:themeFill="accent5" w:themeFillTint="66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20"/>
              </w:numPr>
              <w:spacing w:after="160" w:line="300" w:lineRule="auto"/>
            </w:pPr>
            <w:r>
              <w:t>Bazı donanımların eski olması</w:t>
            </w:r>
          </w:p>
        </w:tc>
      </w:tr>
      <w:tr w:rsidR="00467D1C" w:rsidRPr="00987750" w:rsidTr="00467D1C">
        <w:trPr>
          <w:trHeight w:val="463"/>
        </w:trPr>
        <w:tc>
          <w:tcPr>
            <w:tcW w:w="1784" w:type="dxa"/>
            <w:shd w:val="clear" w:color="auto" w:fill="auto"/>
          </w:tcPr>
          <w:p w:rsidR="00467D1C" w:rsidRPr="00987750" w:rsidRDefault="00467D1C" w:rsidP="0036461E">
            <w:r w:rsidRPr="00987750">
              <w:t>Bütçe</w:t>
            </w:r>
          </w:p>
        </w:tc>
        <w:tc>
          <w:tcPr>
            <w:tcW w:w="8034" w:type="dxa"/>
            <w:shd w:val="clear" w:color="auto" w:fill="auto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21"/>
              </w:numPr>
              <w:spacing w:after="160" w:line="300" w:lineRule="auto"/>
            </w:pPr>
            <w:r w:rsidRPr="00987750">
              <w:t>Sosyal etkinliklerin çeşitlendirilebilmesi için yeterli kaynağın olmaması</w:t>
            </w:r>
          </w:p>
        </w:tc>
      </w:tr>
      <w:tr w:rsidR="00467D1C" w:rsidRPr="00987750" w:rsidTr="00467D1C">
        <w:trPr>
          <w:trHeight w:val="482"/>
        </w:trPr>
        <w:tc>
          <w:tcPr>
            <w:tcW w:w="1784" w:type="dxa"/>
            <w:shd w:val="clear" w:color="auto" w:fill="B6DDE8" w:themeFill="accent5" w:themeFillTint="66"/>
          </w:tcPr>
          <w:p w:rsidR="00467D1C" w:rsidRPr="00987750" w:rsidRDefault="00467D1C" w:rsidP="0036461E">
            <w:r w:rsidRPr="00987750">
              <w:t>Yönetim Süreçleri</w:t>
            </w:r>
          </w:p>
        </w:tc>
        <w:tc>
          <w:tcPr>
            <w:tcW w:w="8034" w:type="dxa"/>
            <w:shd w:val="clear" w:color="auto" w:fill="B6DDE8" w:themeFill="accent5" w:themeFillTint="66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22"/>
              </w:numPr>
              <w:spacing w:after="160" w:line="300" w:lineRule="auto"/>
            </w:pPr>
            <w:r>
              <w:t>Yeterli idareci olmaması</w:t>
            </w:r>
          </w:p>
        </w:tc>
      </w:tr>
      <w:tr w:rsidR="00467D1C" w:rsidRPr="00987750" w:rsidTr="00467D1C">
        <w:trPr>
          <w:trHeight w:val="463"/>
        </w:trPr>
        <w:tc>
          <w:tcPr>
            <w:tcW w:w="1784" w:type="dxa"/>
            <w:shd w:val="clear" w:color="auto" w:fill="auto"/>
          </w:tcPr>
          <w:p w:rsidR="00467D1C" w:rsidRPr="00987750" w:rsidRDefault="00467D1C" w:rsidP="0036461E">
            <w:r w:rsidRPr="00987750">
              <w:t>İletişim Süreçleri</w:t>
            </w:r>
          </w:p>
        </w:tc>
        <w:tc>
          <w:tcPr>
            <w:tcW w:w="8034" w:type="dxa"/>
            <w:shd w:val="clear" w:color="auto" w:fill="auto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23"/>
              </w:numPr>
              <w:spacing w:after="160" w:line="300" w:lineRule="auto"/>
            </w:pPr>
            <w:r>
              <w:t xml:space="preserve"> Açılan kursların çevreye çok fazla yayılmasından dolayı sürekli bir iletişim akışının olmaması,</w:t>
            </w:r>
          </w:p>
        </w:tc>
      </w:tr>
    </w:tbl>
    <w:p w:rsidR="00703CF8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p w:rsidR="00467D1C" w:rsidRDefault="00467D1C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p w:rsidR="00467D1C" w:rsidRDefault="00467D1C" w:rsidP="0056290F">
      <w:pPr>
        <w:tabs>
          <w:tab w:val="left" w:pos="40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FIRSATLAR </w:t>
      </w:r>
    </w:p>
    <w:p w:rsidR="00467D1C" w:rsidRDefault="00467D1C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8"/>
      </w:tblGrid>
      <w:tr w:rsidR="00467D1C" w:rsidRPr="00987750" w:rsidTr="00467D1C">
        <w:trPr>
          <w:trHeight w:val="2175"/>
        </w:trPr>
        <w:tc>
          <w:tcPr>
            <w:tcW w:w="1271" w:type="dxa"/>
            <w:shd w:val="clear" w:color="auto" w:fill="B6DDE8" w:themeFill="accent5" w:themeFillTint="66"/>
          </w:tcPr>
          <w:p w:rsidR="00467D1C" w:rsidRPr="00987750" w:rsidRDefault="00467D1C" w:rsidP="0036461E">
            <w:r w:rsidRPr="00987750">
              <w:t>Politik</w:t>
            </w:r>
          </w:p>
        </w:tc>
        <w:tc>
          <w:tcPr>
            <w:tcW w:w="7938" w:type="dxa"/>
            <w:shd w:val="clear" w:color="auto" w:fill="B6DDE8" w:themeFill="accent5" w:themeFillTint="66"/>
          </w:tcPr>
          <w:p w:rsidR="00467D1C" w:rsidRPr="00545567" w:rsidRDefault="00467D1C" w:rsidP="00467D1C">
            <w:pPr>
              <w:pStyle w:val="ListeParagraf"/>
              <w:numPr>
                <w:ilvl w:val="0"/>
                <w:numId w:val="24"/>
              </w:numPr>
              <w:spacing w:after="160" w:line="300" w:lineRule="auto"/>
            </w:pPr>
            <w:r w:rsidRPr="00987750">
              <w:rPr>
                <w:rFonts w:eastAsia="Calibri"/>
                <w:lang w:eastAsia="en-US"/>
              </w:rPr>
              <w:t>Siyasi erkin, bazı bölgelerdeki eğitim ve öğretime erişim hususunda yaşanan sıkıntıların çözümünde olumlu katkı sağlaması</w:t>
            </w:r>
          </w:p>
          <w:p w:rsidR="00467D1C" w:rsidRPr="00987750" w:rsidRDefault="00467D1C" w:rsidP="00467D1C">
            <w:pPr>
              <w:pStyle w:val="ListeParagraf"/>
              <w:numPr>
                <w:ilvl w:val="0"/>
                <w:numId w:val="24"/>
              </w:numPr>
              <w:spacing w:after="160" w:line="300" w:lineRule="auto"/>
            </w:pPr>
            <w:r>
              <w:rPr>
                <w:rFonts w:eastAsia="Calibri"/>
                <w:lang w:eastAsia="en-US"/>
              </w:rPr>
              <w:t>Kurumun merkezi idare tarafından bilinirliğinin olması</w:t>
            </w:r>
          </w:p>
        </w:tc>
      </w:tr>
      <w:tr w:rsidR="00467D1C" w:rsidRPr="00987750" w:rsidTr="00467D1C">
        <w:trPr>
          <w:trHeight w:val="932"/>
        </w:trPr>
        <w:tc>
          <w:tcPr>
            <w:tcW w:w="1271" w:type="dxa"/>
            <w:shd w:val="clear" w:color="auto" w:fill="auto"/>
          </w:tcPr>
          <w:p w:rsidR="00467D1C" w:rsidRPr="00987750" w:rsidRDefault="00467D1C" w:rsidP="0036461E">
            <w:r w:rsidRPr="00987750">
              <w:lastRenderedPageBreak/>
              <w:t>Ekonomik</w:t>
            </w:r>
          </w:p>
        </w:tc>
        <w:tc>
          <w:tcPr>
            <w:tcW w:w="7938" w:type="dxa"/>
            <w:shd w:val="clear" w:color="auto" w:fill="auto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25"/>
              </w:numPr>
              <w:spacing w:after="160" w:line="300" w:lineRule="auto"/>
            </w:pPr>
            <w:r>
              <w:t>Döner sermaye etkinliğinin nispeten fazla olması</w:t>
            </w:r>
          </w:p>
        </w:tc>
      </w:tr>
      <w:tr w:rsidR="00467D1C" w:rsidRPr="00987750" w:rsidTr="00467D1C">
        <w:trPr>
          <w:trHeight w:val="932"/>
        </w:trPr>
        <w:tc>
          <w:tcPr>
            <w:tcW w:w="1271" w:type="dxa"/>
            <w:shd w:val="clear" w:color="auto" w:fill="B6DDE8" w:themeFill="accent5" w:themeFillTint="66"/>
          </w:tcPr>
          <w:p w:rsidR="00467D1C" w:rsidRPr="00987750" w:rsidRDefault="00467D1C" w:rsidP="0036461E">
            <w:r w:rsidRPr="00987750">
              <w:t>Sosyolojik</w:t>
            </w:r>
          </w:p>
        </w:tc>
        <w:tc>
          <w:tcPr>
            <w:tcW w:w="7938" w:type="dxa"/>
            <w:shd w:val="clear" w:color="auto" w:fill="B6DDE8" w:themeFill="accent5" w:themeFillTint="66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26"/>
              </w:numPr>
              <w:spacing w:after="160" w:line="300" w:lineRule="auto"/>
            </w:pPr>
            <w:r>
              <w:t xml:space="preserve">Kurum çevresindeki </w:t>
            </w:r>
            <w:proofErr w:type="spellStart"/>
            <w:r>
              <w:t>sosyo</w:t>
            </w:r>
            <w:proofErr w:type="spellEnd"/>
            <w:r>
              <w:t xml:space="preserve"> kültürel yapı ve gelişmişlik düzeyi</w:t>
            </w:r>
          </w:p>
        </w:tc>
      </w:tr>
      <w:tr w:rsidR="00467D1C" w:rsidRPr="00987750" w:rsidTr="00467D1C">
        <w:trPr>
          <w:trHeight w:val="932"/>
        </w:trPr>
        <w:tc>
          <w:tcPr>
            <w:tcW w:w="1271" w:type="dxa"/>
            <w:shd w:val="clear" w:color="auto" w:fill="auto"/>
          </w:tcPr>
          <w:p w:rsidR="00467D1C" w:rsidRPr="00987750" w:rsidRDefault="00467D1C" w:rsidP="0036461E">
            <w:r w:rsidRPr="00987750">
              <w:t>Teknolojik</w:t>
            </w:r>
          </w:p>
        </w:tc>
        <w:tc>
          <w:tcPr>
            <w:tcW w:w="7938" w:type="dxa"/>
            <w:shd w:val="clear" w:color="auto" w:fill="auto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27"/>
              </w:numPr>
              <w:spacing w:after="160" w:line="300" w:lineRule="auto"/>
            </w:pPr>
            <w:r>
              <w:t>Kurumun teknolojiye erişim oranının yüksek ve kolay olması</w:t>
            </w:r>
          </w:p>
        </w:tc>
      </w:tr>
      <w:tr w:rsidR="00467D1C" w:rsidRPr="00987750" w:rsidTr="00467D1C">
        <w:trPr>
          <w:trHeight w:val="896"/>
        </w:trPr>
        <w:tc>
          <w:tcPr>
            <w:tcW w:w="1271" w:type="dxa"/>
            <w:shd w:val="clear" w:color="auto" w:fill="B6DDE8" w:themeFill="accent5" w:themeFillTint="66"/>
          </w:tcPr>
          <w:p w:rsidR="00467D1C" w:rsidRPr="00987750" w:rsidRDefault="00467D1C" w:rsidP="0036461E">
            <w:r w:rsidRPr="00987750">
              <w:t>Mevzuat-Yasal</w:t>
            </w:r>
          </w:p>
        </w:tc>
        <w:tc>
          <w:tcPr>
            <w:tcW w:w="7938" w:type="dxa"/>
            <w:shd w:val="clear" w:color="auto" w:fill="B6DDE8" w:themeFill="accent5" w:themeFillTint="66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28"/>
              </w:numPr>
              <w:spacing w:after="160" w:line="300" w:lineRule="auto"/>
            </w:pPr>
            <w:r w:rsidRPr="00987750">
              <w:rPr>
                <w:rFonts w:eastAsia="Calibri"/>
                <w:lang w:eastAsia="en-US"/>
              </w:rPr>
              <w:t>Bakanlığın mevzuat çalışmalarında yeni sisteme uyum sağlamada yasal dayanaklara sahip olması</w:t>
            </w:r>
          </w:p>
        </w:tc>
      </w:tr>
      <w:tr w:rsidR="00467D1C" w:rsidRPr="00987750" w:rsidTr="00467D1C">
        <w:trPr>
          <w:trHeight w:val="1554"/>
        </w:trPr>
        <w:tc>
          <w:tcPr>
            <w:tcW w:w="1271" w:type="dxa"/>
            <w:shd w:val="clear" w:color="auto" w:fill="auto"/>
          </w:tcPr>
          <w:p w:rsidR="00467D1C" w:rsidRPr="00987750" w:rsidRDefault="00467D1C" w:rsidP="0036461E">
            <w:r w:rsidRPr="00987750">
              <w:t>Ekolojik</w:t>
            </w:r>
          </w:p>
        </w:tc>
        <w:tc>
          <w:tcPr>
            <w:tcW w:w="7938" w:type="dxa"/>
            <w:shd w:val="clear" w:color="auto" w:fill="auto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29"/>
              </w:numPr>
              <w:spacing w:after="160" w:line="300" w:lineRule="auto"/>
            </w:pPr>
            <w:r w:rsidRPr="00987750">
              <w:rPr>
                <w:rFonts w:eastAsia="Calibri"/>
                <w:lang w:eastAsia="en-US"/>
              </w:rPr>
              <w:t>Çevre duyarlılığı olan kuramların MEB ile iş birliği yapması, uygulanan müfredatta çevreye yönelik tema ve kazanımların bulunması</w:t>
            </w:r>
          </w:p>
        </w:tc>
      </w:tr>
    </w:tbl>
    <w:p w:rsidR="00467D1C" w:rsidRDefault="00467D1C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p w:rsidR="00467D1C" w:rsidRDefault="00467D1C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p w:rsidR="00467D1C" w:rsidRDefault="00467D1C" w:rsidP="0056290F">
      <w:pPr>
        <w:tabs>
          <w:tab w:val="left" w:pos="40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TEHDİTLER</w:t>
      </w:r>
    </w:p>
    <w:p w:rsidR="00467D1C" w:rsidRDefault="00467D1C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7505"/>
      </w:tblGrid>
      <w:tr w:rsidR="00467D1C" w:rsidRPr="00987750" w:rsidTr="00467D1C">
        <w:trPr>
          <w:trHeight w:val="513"/>
        </w:trPr>
        <w:tc>
          <w:tcPr>
            <w:tcW w:w="1801" w:type="dxa"/>
            <w:shd w:val="clear" w:color="auto" w:fill="B6DDE8" w:themeFill="accent5" w:themeFillTint="66"/>
          </w:tcPr>
          <w:p w:rsidR="00467D1C" w:rsidRPr="00987750" w:rsidRDefault="00467D1C" w:rsidP="0036461E">
            <w:bookmarkStart w:id="0" w:name="_GoBack"/>
            <w:bookmarkEnd w:id="0"/>
            <w:r w:rsidRPr="00987750">
              <w:t>Politik</w:t>
            </w:r>
          </w:p>
        </w:tc>
        <w:tc>
          <w:tcPr>
            <w:tcW w:w="7505" w:type="dxa"/>
            <w:shd w:val="clear" w:color="auto" w:fill="B6DDE8" w:themeFill="accent5" w:themeFillTint="66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30"/>
              </w:numPr>
              <w:spacing w:after="160" w:line="300" w:lineRule="auto"/>
            </w:pPr>
            <w:r>
              <w:t>Eğitim politikalarının ve kadrolu öğretmen sayısının yetersizliği</w:t>
            </w:r>
          </w:p>
        </w:tc>
      </w:tr>
      <w:tr w:rsidR="00467D1C" w:rsidRPr="00987750" w:rsidTr="00467D1C">
        <w:trPr>
          <w:trHeight w:val="855"/>
        </w:trPr>
        <w:tc>
          <w:tcPr>
            <w:tcW w:w="1801" w:type="dxa"/>
          </w:tcPr>
          <w:p w:rsidR="00467D1C" w:rsidRPr="00987750" w:rsidRDefault="00467D1C" w:rsidP="0036461E">
            <w:r w:rsidRPr="00987750">
              <w:t>Ekonomik</w:t>
            </w:r>
          </w:p>
        </w:tc>
        <w:tc>
          <w:tcPr>
            <w:tcW w:w="7505" w:type="dxa"/>
            <w:shd w:val="clear" w:color="auto" w:fill="auto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31"/>
              </w:numPr>
              <w:spacing w:after="160" w:line="300" w:lineRule="auto"/>
            </w:pPr>
            <w:r w:rsidRPr="00987750">
              <w:rPr>
                <w:rFonts w:eastAsia="Calibri"/>
                <w:lang w:eastAsia="en-US"/>
              </w:rPr>
              <w:t>Eğitim kaynaklarının kullanımının etkili ve etkin planlanamaması, diğer kurumlar ve sivil toplumun eğitime finansal katkısının yetersizliği, bölgeler arası ekonomik gelişmişlik farklılığı</w:t>
            </w:r>
          </w:p>
        </w:tc>
      </w:tr>
      <w:tr w:rsidR="00467D1C" w:rsidRPr="00987750" w:rsidTr="00467D1C">
        <w:trPr>
          <w:trHeight w:val="493"/>
        </w:trPr>
        <w:tc>
          <w:tcPr>
            <w:tcW w:w="1801" w:type="dxa"/>
            <w:shd w:val="clear" w:color="auto" w:fill="B6DDE8" w:themeFill="accent5" w:themeFillTint="66"/>
          </w:tcPr>
          <w:p w:rsidR="00467D1C" w:rsidRPr="00987750" w:rsidRDefault="00467D1C" w:rsidP="0036461E">
            <w:r w:rsidRPr="00987750">
              <w:t>Sosyolojik</w:t>
            </w:r>
          </w:p>
        </w:tc>
        <w:tc>
          <w:tcPr>
            <w:tcW w:w="7505" w:type="dxa"/>
            <w:shd w:val="clear" w:color="auto" w:fill="B6DDE8" w:themeFill="accent5" w:themeFillTint="66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32"/>
              </w:numPr>
              <w:spacing w:after="160" w:line="300" w:lineRule="auto"/>
            </w:pPr>
            <w:r>
              <w:t xml:space="preserve">Çok fazla </w:t>
            </w:r>
            <w:proofErr w:type="spellStart"/>
            <w:r>
              <w:t>sosyo</w:t>
            </w:r>
            <w:proofErr w:type="spellEnd"/>
            <w:r>
              <w:t>-kültürel kesime hitap edilmesi</w:t>
            </w:r>
          </w:p>
        </w:tc>
      </w:tr>
      <w:tr w:rsidR="00467D1C" w:rsidRPr="00987750" w:rsidTr="00467D1C">
        <w:trPr>
          <w:trHeight w:val="513"/>
        </w:trPr>
        <w:tc>
          <w:tcPr>
            <w:tcW w:w="1801" w:type="dxa"/>
          </w:tcPr>
          <w:p w:rsidR="00467D1C" w:rsidRPr="00987750" w:rsidRDefault="00467D1C" w:rsidP="0036461E">
            <w:r w:rsidRPr="00987750">
              <w:t>Teknolojik</w:t>
            </w:r>
          </w:p>
        </w:tc>
        <w:tc>
          <w:tcPr>
            <w:tcW w:w="7505" w:type="dxa"/>
            <w:shd w:val="clear" w:color="auto" w:fill="auto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33"/>
              </w:numPr>
              <w:spacing w:after="160" w:line="300" w:lineRule="auto"/>
            </w:pPr>
            <w:r>
              <w:t>Eskiyen teknoloji</w:t>
            </w:r>
          </w:p>
        </w:tc>
      </w:tr>
      <w:tr w:rsidR="00467D1C" w:rsidRPr="00987750" w:rsidTr="00467D1C">
        <w:trPr>
          <w:trHeight w:val="493"/>
        </w:trPr>
        <w:tc>
          <w:tcPr>
            <w:tcW w:w="1801" w:type="dxa"/>
            <w:shd w:val="clear" w:color="auto" w:fill="B6DDE8" w:themeFill="accent5" w:themeFillTint="66"/>
          </w:tcPr>
          <w:p w:rsidR="00467D1C" w:rsidRPr="00987750" w:rsidRDefault="00467D1C" w:rsidP="0036461E">
            <w:r w:rsidRPr="00987750">
              <w:t>Mevzuat-Yasal</w:t>
            </w:r>
          </w:p>
        </w:tc>
        <w:tc>
          <w:tcPr>
            <w:tcW w:w="7505" w:type="dxa"/>
            <w:shd w:val="clear" w:color="auto" w:fill="B6DDE8" w:themeFill="accent5" w:themeFillTint="66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34"/>
              </w:numPr>
              <w:spacing w:after="160" w:line="300" w:lineRule="auto"/>
            </w:pPr>
            <w:r w:rsidRPr="00987750">
              <w:rPr>
                <w:rFonts w:eastAsia="Calibri"/>
                <w:lang w:eastAsia="en-US"/>
              </w:rPr>
              <w:t>Değişen mevzuatı uyumlaştırmak için sürenin sınırlı oluşu</w:t>
            </w:r>
          </w:p>
        </w:tc>
      </w:tr>
      <w:tr w:rsidR="00467D1C" w:rsidRPr="00987750" w:rsidTr="00467D1C">
        <w:trPr>
          <w:trHeight w:val="493"/>
        </w:trPr>
        <w:tc>
          <w:tcPr>
            <w:tcW w:w="1801" w:type="dxa"/>
          </w:tcPr>
          <w:p w:rsidR="00467D1C" w:rsidRPr="00987750" w:rsidRDefault="00467D1C" w:rsidP="0036461E">
            <w:r w:rsidRPr="00987750">
              <w:t>Ekolojik</w:t>
            </w:r>
          </w:p>
        </w:tc>
        <w:tc>
          <w:tcPr>
            <w:tcW w:w="7505" w:type="dxa"/>
            <w:shd w:val="clear" w:color="auto" w:fill="auto"/>
          </w:tcPr>
          <w:p w:rsidR="00467D1C" w:rsidRPr="00987750" w:rsidRDefault="00467D1C" w:rsidP="00467D1C">
            <w:pPr>
              <w:pStyle w:val="ListeParagraf"/>
              <w:numPr>
                <w:ilvl w:val="0"/>
                <w:numId w:val="35"/>
              </w:numPr>
              <w:spacing w:after="160" w:line="300" w:lineRule="auto"/>
            </w:pPr>
            <w:r w:rsidRPr="00987750">
              <w:rPr>
                <w:rFonts w:eastAsia="Calibri"/>
                <w:lang w:eastAsia="en-US"/>
              </w:rPr>
              <w:t xml:space="preserve">Toplumun çevresel risk faktörleri konusunda kısmi duyarsızlığı, çevre </w:t>
            </w:r>
            <w:proofErr w:type="spellStart"/>
            <w:r w:rsidRPr="00987750">
              <w:rPr>
                <w:rFonts w:eastAsia="Calibri"/>
                <w:lang w:eastAsia="en-US"/>
              </w:rPr>
              <w:t>farkındalığının</w:t>
            </w:r>
            <w:proofErr w:type="spellEnd"/>
            <w:r w:rsidRPr="00987750">
              <w:rPr>
                <w:rFonts w:eastAsia="Calibri"/>
                <w:lang w:eastAsia="en-US"/>
              </w:rPr>
              <w:t xml:space="preserve"> azlığı</w:t>
            </w:r>
          </w:p>
        </w:tc>
      </w:tr>
    </w:tbl>
    <w:p w:rsidR="00467D1C" w:rsidRDefault="00467D1C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467D1C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16" w:rsidRDefault="00744416" w:rsidP="004A3541">
      <w:r>
        <w:separator/>
      </w:r>
    </w:p>
  </w:endnote>
  <w:endnote w:type="continuationSeparator" w:id="1">
    <w:p w:rsidR="00744416" w:rsidRDefault="00744416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6A" w:rsidRDefault="00A1506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6A" w:rsidRDefault="00A150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16" w:rsidRDefault="00744416" w:rsidP="004A3541">
      <w:r>
        <w:separator/>
      </w:r>
    </w:p>
  </w:footnote>
  <w:footnote w:type="continuationSeparator" w:id="1">
    <w:p w:rsidR="00744416" w:rsidRDefault="00744416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A76F8C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A1506A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 xml:space="preserve">FR. </w:t>
          </w:r>
          <w:r w:rsidR="00467D1C">
            <w:rPr>
              <w:rFonts w:ascii="Calibri" w:hAnsi="Calibri" w:cs="Calibri"/>
              <w:sz w:val="20"/>
              <w:szCs w:val="20"/>
            </w:rPr>
            <w:t>010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467D1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SWOT ANALİZİ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A76F8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A1506A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A1506A">
            <w:rPr>
              <w:rFonts w:ascii="Calibri" w:hAnsi="Calibri" w:cs="Calibri"/>
              <w:noProof/>
              <w:sz w:val="20"/>
              <w:szCs w:val="20"/>
            </w:rPr>
            <w:t>3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6A" w:rsidRDefault="00A1506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1A8"/>
    <w:multiLevelType w:val="hybridMultilevel"/>
    <w:tmpl w:val="1F382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27ED"/>
    <w:multiLevelType w:val="hybridMultilevel"/>
    <w:tmpl w:val="7EBA4D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6B83"/>
    <w:multiLevelType w:val="hybridMultilevel"/>
    <w:tmpl w:val="736A2A5E"/>
    <w:lvl w:ilvl="0" w:tplc="DD3CF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0D4414"/>
    <w:multiLevelType w:val="hybridMultilevel"/>
    <w:tmpl w:val="D480E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7642"/>
    <w:multiLevelType w:val="hybridMultilevel"/>
    <w:tmpl w:val="A1B06C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B279B"/>
    <w:multiLevelType w:val="hybridMultilevel"/>
    <w:tmpl w:val="3ECEF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D22C6"/>
    <w:multiLevelType w:val="hybridMultilevel"/>
    <w:tmpl w:val="506220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825E3"/>
    <w:multiLevelType w:val="hybridMultilevel"/>
    <w:tmpl w:val="D10AE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30028"/>
    <w:multiLevelType w:val="hybridMultilevel"/>
    <w:tmpl w:val="99062B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70941"/>
    <w:multiLevelType w:val="hybridMultilevel"/>
    <w:tmpl w:val="459CD1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B01CDA"/>
    <w:multiLevelType w:val="hybridMultilevel"/>
    <w:tmpl w:val="147C4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04077"/>
    <w:multiLevelType w:val="hybridMultilevel"/>
    <w:tmpl w:val="0D76CF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9424D"/>
    <w:multiLevelType w:val="hybridMultilevel"/>
    <w:tmpl w:val="DFD453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55074"/>
    <w:multiLevelType w:val="hybridMultilevel"/>
    <w:tmpl w:val="7EFE6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C5637"/>
    <w:multiLevelType w:val="hybridMultilevel"/>
    <w:tmpl w:val="E154EF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E14B9"/>
    <w:multiLevelType w:val="hybridMultilevel"/>
    <w:tmpl w:val="ED56C0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3372E"/>
    <w:multiLevelType w:val="hybridMultilevel"/>
    <w:tmpl w:val="74FE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F6F45"/>
    <w:multiLevelType w:val="hybridMultilevel"/>
    <w:tmpl w:val="9F88D6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0"/>
  </w:num>
  <w:num w:numId="5">
    <w:abstractNumId w:val="20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12"/>
  </w:num>
  <w:num w:numId="11">
    <w:abstractNumId w:val="21"/>
  </w:num>
  <w:num w:numId="12">
    <w:abstractNumId w:val="26"/>
  </w:num>
  <w:num w:numId="13">
    <w:abstractNumId w:val="33"/>
  </w:num>
  <w:num w:numId="14">
    <w:abstractNumId w:val="23"/>
  </w:num>
  <w:num w:numId="15">
    <w:abstractNumId w:val="14"/>
  </w:num>
  <w:num w:numId="16">
    <w:abstractNumId w:val="8"/>
  </w:num>
  <w:num w:numId="17">
    <w:abstractNumId w:val="25"/>
  </w:num>
  <w:num w:numId="18">
    <w:abstractNumId w:val="5"/>
  </w:num>
  <w:num w:numId="19">
    <w:abstractNumId w:val="6"/>
  </w:num>
  <w:num w:numId="20">
    <w:abstractNumId w:val="22"/>
  </w:num>
  <w:num w:numId="21">
    <w:abstractNumId w:val="18"/>
  </w:num>
  <w:num w:numId="22">
    <w:abstractNumId w:val="31"/>
  </w:num>
  <w:num w:numId="23">
    <w:abstractNumId w:val="28"/>
  </w:num>
  <w:num w:numId="24">
    <w:abstractNumId w:val="29"/>
  </w:num>
  <w:num w:numId="25">
    <w:abstractNumId w:val="0"/>
  </w:num>
  <w:num w:numId="26">
    <w:abstractNumId w:val="2"/>
  </w:num>
  <w:num w:numId="27">
    <w:abstractNumId w:val="34"/>
  </w:num>
  <w:num w:numId="28">
    <w:abstractNumId w:val="19"/>
  </w:num>
  <w:num w:numId="29">
    <w:abstractNumId w:val="30"/>
  </w:num>
  <w:num w:numId="30">
    <w:abstractNumId w:val="1"/>
  </w:num>
  <w:num w:numId="31">
    <w:abstractNumId w:val="11"/>
  </w:num>
  <w:num w:numId="32">
    <w:abstractNumId w:val="13"/>
  </w:num>
  <w:num w:numId="33">
    <w:abstractNumId w:val="24"/>
  </w:num>
  <w:num w:numId="34">
    <w:abstractNumId w:val="2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67D1C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44416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1506A"/>
    <w:rsid w:val="00A22C74"/>
    <w:rsid w:val="00A2416C"/>
    <w:rsid w:val="00A25166"/>
    <w:rsid w:val="00A30429"/>
    <w:rsid w:val="00A50CD2"/>
    <w:rsid w:val="00A61F4C"/>
    <w:rsid w:val="00A76F8C"/>
    <w:rsid w:val="00AA02A8"/>
    <w:rsid w:val="00AB33FC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link w:val="AralkYokChar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  <w:style w:type="character" w:customStyle="1" w:styleId="AralkYokChar">
    <w:name w:val="Aralık Yok Char"/>
    <w:link w:val="AralkYok"/>
    <w:uiPriority w:val="1"/>
    <w:rsid w:val="00467D1C"/>
    <w:rPr>
      <w:rFonts w:ascii="Times New Roman" w:eastAsia="Times New Roman" w:hAnsi="Times New Roman"/>
      <w:sz w:val="24"/>
      <w:szCs w:val="24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467D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3</cp:revision>
  <cp:lastPrinted>2021-07-30T06:33:00Z</cp:lastPrinted>
  <dcterms:created xsi:type="dcterms:W3CDTF">2022-04-15T12:37:00Z</dcterms:created>
  <dcterms:modified xsi:type="dcterms:W3CDTF">2022-05-12T06:34:00Z</dcterms:modified>
</cp:coreProperties>
</file>